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4760" w:type="dxa"/>
        <w:tblInd w:w="-289" w:type="dxa"/>
        <w:tblLook w:val="04A0" w:firstRow="1" w:lastRow="0" w:firstColumn="1" w:lastColumn="0" w:noHBand="0" w:noVBand="1"/>
      </w:tblPr>
      <w:tblGrid>
        <w:gridCol w:w="8789"/>
        <w:gridCol w:w="3544"/>
        <w:gridCol w:w="2427"/>
      </w:tblGrid>
      <w:tr w:rsidR="00D44CF3" w:rsidRPr="00A41E83" w14:paraId="46152523" w14:textId="77777777" w:rsidTr="00D44CF3">
        <w:tc>
          <w:tcPr>
            <w:tcW w:w="12333" w:type="dxa"/>
            <w:gridSpan w:val="2"/>
            <w:shd w:val="clear" w:color="auto" w:fill="DEEAF6" w:themeFill="accent1" w:themeFillTint="33"/>
            <w:vAlign w:val="center"/>
          </w:tcPr>
          <w:p w14:paraId="234F2A2A" w14:textId="77777777" w:rsidR="00D44CF3" w:rsidRPr="00A41E83" w:rsidRDefault="00D44CF3" w:rsidP="00D44CF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ПРИНЦИП 10.</w:t>
            </w:r>
            <w:r w:rsidRPr="00A41E83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A41E83">
              <w:rPr>
                <w:rFonts w:ascii="Times New Roman" w:eastAsia="Times New Roman" w:hAnsi="Times New Roman" w:cs="Times New Roman"/>
                <w:b/>
                <w:noProof/>
                <w:lang w:eastAsia="bg-BG"/>
              </w:rPr>
              <w:t>СТАБИЛНО ФИНАНСОВО УПРАВЛЕНИЕ</w:t>
            </w:r>
          </w:p>
        </w:tc>
        <w:tc>
          <w:tcPr>
            <w:tcW w:w="2427" w:type="dxa"/>
            <w:shd w:val="clear" w:color="auto" w:fill="DEEAF6" w:themeFill="accent1" w:themeFillTint="33"/>
            <w:vAlign w:val="center"/>
          </w:tcPr>
          <w:p w14:paraId="2F114F1F" w14:textId="77777777" w:rsidR="00D44CF3" w:rsidRPr="00D44CF3" w:rsidRDefault="00D44CF3" w:rsidP="00D44CF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ТЕТЕВЕН</w:t>
            </w:r>
          </w:p>
        </w:tc>
      </w:tr>
      <w:tr w:rsidR="00D44CF3" w:rsidRPr="00A41E83" w14:paraId="0A573844" w14:textId="77777777" w:rsidTr="00D44CF3">
        <w:tc>
          <w:tcPr>
            <w:tcW w:w="8789" w:type="dxa"/>
            <w:shd w:val="clear" w:color="auto" w:fill="auto"/>
            <w:vAlign w:val="center"/>
          </w:tcPr>
          <w:p w14:paraId="343E977E" w14:textId="77777777" w:rsidR="00D44CF3" w:rsidRPr="00A41E83" w:rsidRDefault="00D44CF3" w:rsidP="00D44CF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0468634" w14:textId="77777777" w:rsidR="00D44CF3" w:rsidRPr="00A41E83" w:rsidRDefault="00D44CF3" w:rsidP="00D44CF3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0C975308" w14:textId="77777777" w:rsidR="00D44CF3" w:rsidRPr="00A41E83" w:rsidRDefault="00D44CF3" w:rsidP="00D44CF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A41E83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4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4592117" w14:textId="5EB47C37" w:rsidR="00D44CF3" w:rsidRPr="00A41E83" w:rsidRDefault="00C5095F" w:rsidP="00D44CF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5095F">
              <w:rPr>
                <w:rFonts w:ascii="Times New Roman" w:eastAsia="Calibri" w:hAnsi="Times New Roman" w:cs="Times New Roman"/>
                <w:b/>
                <w:lang w:val="bg-BG"/>
              </w:rPr>
              <w:t>Мнение на независимия експерт</w:t>
            </w:r>
          </w:p>
        </w:tc>
      </w:tr>
      <w:tr w:rsidR="00D44CF3" w:rsidRPr="00A41E83" w14:paraId="218B73D8" w14:textId="77777777" w:rsidTr="00D44CF3">
        <w:tc>
          <w:tcPr>
            <w:tcW w:w="14760" w:type="dxa"/>
            <w:gridSpan w:val="3"/>
            <w:shd w:val="clear" w:color="auto" w:fill="FBE4D5" w:themeFill="accent2" w:themeFillTint="33"/>
            <w:vAlign w:val="center"/>
          </w:tcPr>
          <w:p w14:paraId="4F163210" w14:textId="77777777" w:rsidR="00D44CF3" w:rsidRPr="00A41E83" w:rsidRDefault="00D44CF3" w:rsidP="00D44CF3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ДЕЙНОСТ 1:</w:t>
            </w: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 xml:space="preserve"> Таксите на предоставяните услуги не надхвърлят реалната им стойност и не намаляват прекомерно много търсенето, особено в случаите когато се отнася за важни публични услуги.</w:t>
            </w:r>
          </w:p>
        </w:tc>
      </w:tr>
      <w:tr w:rsidR="00D44CF3" w:rsidRPr="00A41E83" w14:paraId="2347D1DF" w14:textId="77777777" w:rsidTr="00D44CF3">
        <w:tc>
          <w:tcPr>
            <w:tcW w:w="8789" w:type="dxa"/>
            <w:shd w:val="clear" w:color="auto" w:fill="auto"/>
            <w:vAlign w:val="center"/>
          </w:tcPr>
          <w:p w14:paraId="7DE7EBBF" w14:textId="77777777" w:rsidR="00D44CF3" w:rsidRPr="00A41E83" w:rsidRDefault="00D44CF3" w:rsidP="00D44CF3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Индикатор 1. Длъжностните лица ясно определят обосновката и базата за цените на услугите.</w:t>
            </w:r>
          </w:p>
        </w:tc>
        <w:tc>
          <w:tcPr>
            <w:tcW w:w="3544" w:type="dxa"/>
            <w:shd w:val="clear" w:color="auto" w:fill="FFFFFF" w:themeFill="background1"/>
            <w:vAlign w:val="center"/>
          </w:tcPr>
          <w:p w14:paraId="454C0D20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D5414">
              <w:rPr>
                <w:rFonts w:ascii="Times New Roman" w:eastAsia="Calibri" w:hAnsi="Times New Roman" w:cs="Times New Roman"/>
                <w:lang w:val="bg-BG"/>
              </w:rPr>
              <w:t xml:space="preserve">Община Тетевен прилага структуриран подход, ориентиран към стабилно финансово управление, основан на ясно дефинирани принципи, вътрешни правила и ефективен контрол. </w:t>
            </w:r>
            <w:r>
              <w:rPr>
                <w:rFonts w:ascii="Times New Roman" w:eastAsia="Calibri" w:hAnsi="Times New Roman" w:cs="Times New Roman"/>
                <w:lang w:val="bg-BG"/>
              </w:rPr>
              <w:t>О</w:t>
            </w:r>
            <w:r w:rsidRPr="00BD5414">
              <w:rPr>
                <w:rFonts w:ascii="Times New Roman" w:eastAsia="Calibri" w:hAnsi="Times New Roman" w:cs="Times New Roman"/>
                <w:lang w:val="bg-BG"/>
              </w:rPr>
              <w:t>сигурено планиране, базирано на реалистични анализи, дългосрочни прогно</w:t>
            </w:r>
            <w:r>
              <w:rPr>
                <w:rFonts w:ascii="Times New Roman" w:eastAsia="Calibri" w:hAnsi="Times New Roman" w:cs="Times New Roman"/>
                <w:lang w:val="bg-BG"/>
              </w:rPr>
              <w:t>зи и широко обществено участие се потвърждава чрез:</w:t>
            </w:r>
          </w:p>
          <w:p w14:paraId="11A05F84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-Д</w:t>
            </w:r>
            <w:r w:rsidRPr="00BD5414">
              <w:rPr>
                <w:rFonts w:ascii="Times New Roman" w:eastAsia="Calibri" w:hAnsi="Times New Roman" w:cs="Times New Roman"/>
                <w:lang w:val="bg-BG"/>
              </w:rPr>
              <w:t>лъжностните лица ясно определят обосновката и базата за цените на услугите, общината е приела:</w:t>
            </w:r>
          </w:p>
          <w:p w14:paraId="507D0B17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D5414">
              <w:rPr>
                <w:rFonts w:ascii="Times New Roman" w:eastAsia="Calibri" w:hAnsi="Times New Roman" w:cs="Times New Roman"/>
                <w:lang w:val="bg-BG"/>
              </w:rPr>
              <w:t>Наредба за определяне и администриране на местните такси и цени на услуги, достъпна онлайн, в която са дефинирани принципите за определяне на цени въз основа на:</w:t>
            </w:r>
          </w:p>
          <w:p w14:paraId="681F5DC6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D5414">
              <w:rPr>
                <w:rFonts w:ascii="Times New Roman" w:eastAsia="Calibri" w:hAnsi="Times New Roman" w:cs="Times New Roman"/>
                <w:lang w:val="bg-BG"/>
              </w:rPr>
              <w:t>– реалните разходи за предоставяне на услугите</w:t>
            </w:r>
          </w:p>
          <w:p w14:paraId="165D6EC4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D5414">
              <w:rPr>
                <w:rFonts w:ascii="Times New Roman" w:eastAsia="Calibri" w:hAnsi="Times New Roman" w:cs="Times New Roman"/>
                <w:lang w:val="bg-BG"/>
              </w:rPr>
              <w:t>– социалната значимост на конкретната услуга</w:t>
            </w:r>
          </w:p>
          <w:p w14:paraId="196F1605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D5414">
              <w:rPr>
                <w:rFonts w:ascii="Times New Roman" w:eastAsia="Calibri" w:hAnsi="Times New Roman" w:cs="Times New Roman"/>
                <w:lang w:val="bg-BG"/>
              </w:rPr>
              <w:lastRenderedPageBreak/>
              <w:t>– необходимостта от достъпност за широк кръг граждани</w:t>
            </w:r>
          </w:p>
          <w:p w14:paraId="55AC75DD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BD5414">
              <w:rPr>
                <w:rFonts w:ascii="Times New Roman" w:eastAsia="Calibri" w:hAnsi="Times New Roman" w:cs="Times New Roman"/>
                <w:lang w:val="bg-BG"/>
              </w:rPr>
              <w:t>Приложени са калкулации на разходите и аналитични таблици, като част от мотиви към проекти за промени в наредбата – доказателство, че ценообразуването не е формално, а следва анализ и вътрешно изчисление на стойност.</w:t>
            </w:r>
          </w:p>
          <w:p w14:paraId="54327407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BD5414">
              <w:rPr>
                <w:rFonts w:ascii="Times New Roman" w:eastAsia="Calibri" w:hAnsi="Times New Roman" w:cs="Times New Roman"/>
                <w:lang w:val="bg-BG"/>
              </w:rPr>
              <w:t>Ценоразписът на услугите е публично достъпен и актуален, което гарантира прозрачност и предвидимост за гражданите.</w:t>
            </w:r>
          </w:p>
          <w:p w14:paraId="2E9A1B18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BD5414">
              <w:rPr>
                <w:rFonts w:ascii="Times New Roman" w:eastAsia="Calibri" w:hAnsi="Times New Roman" w:cs="Times New Roman"/>
                <w:lang w:val="bg-BG"/>
              </w:rPr>
              <w:t>Общината поддържа механизъм за публично обсъждане при приемане или изменение на нормативната уредба по цени на услуги – това е потвърдено от наличните покани, протоколи и онлайн публикуване на предложения и приети решения.</w:t>
            </w:r>
          </w:p>
          <w:p w14:paraId="690E266E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BD5414">
              <w:rPr>
                <w:rFonts w:ascii="Times New Roman" w:eastAsia="Calibri" w:hAnsi="Times New Roman" w:cs="Times New Roman"/>
                <w:lang w:val="bg-BG"/>
              </w:rPr>
              <w:t>Съществува реален баланс между устойчивост на приходите и достъпност на услугите, особено за социално значими дейности като здравеопазване, образование и комунални услуги.</w:t>
            </w:r>
          </w:p>
          <w:p w14:paraId="5EE54B6F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1D8BDCBC" w14:textId="77777777" w:rsidR="00D44CF3" w:rsidRPr="008573D0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D5414">
              <w:rPr>
                <w:rFonts w:ascii="Times New Roman" w:eastAsia="Calibri" w:hAnsi="Times New Roman" w:cs="Times New Roman"/>
                <w:lang w:val="bg-BG"/>
              </w:rPr>
              <w:t xml:space="preserve">Всичко това показва, че в Община Тетевен се прилага финансово обоснован, прозрачен и социално </w:t>
            </w:r>
            <w:r w:rsidRPr="00BD5414">
              <w:rPr>
                <w:rFonts w:ascii="Times New Roman" w:eastAsia="Calibri" w:hAnsi="Times New Roman" w:cs="Times New Roman"/>
                <w:lang w:val="bg-BG"/>
              </w:rPr>
              <w:lastRenderedPageBreak/>
              <w:t>чувствителен модел на таксуване, който отговаря на добрите практики в публичния сектор и принципите на добро управление.</w:t>
            </w:r>
          </w:p>
        </w:tc>
        <w:tc>
          <w:tcPr>
            <w:tcW w:w="2427" w:type="dxa"/>
            <w:shd w:val="clear" w:color="auto" w:fill="FFFFFF" w:themeFill="background1"/>
            <w:vAlign w:val="center"/>
          </w:tcPr>
          <w:p w14:paraId="199FD1FF" w14:textId="41308DFF" w:rsidR="00D44CF3" w:rsidRPr="00C5095F" w:rsidRDefault="00C5095F" w:rsidP="00C5095F">
            <w:pPr>
              <w:jc w:val="center"/>
              <w:rPr>
                <w:rFonts w:ascii="Times New Roman" w:eastAsia="Calibri" w:hAnsi="Times New Roman" w:cs="Times New Roman"/>
                <w:bCs/>
                <w:lang w:val="bg-BG"/>
              </w:rPr>
            </w:pPr>
            <w:r w:rsidRPr="00C5095F">
              <w:rPr>
                <w:rFonts w:ascii="Times New Roman" w:eastAsia="Calibri" w:hAnsi="Times New Roman" w:cs="Times New Roman"/>
                <w:bCs/>
                <w:lang w:val="bg-BG"/>
              </w:rPr>
              <w:lastRenderedPageBreak/>
              <w:t>ДА</w:t>
            </w:r>
          </w:p>
        </w:tc>
      </w:tr>
      <w:tr w:rsidR="00D44CF3" w:rsidRPr="00A41E83" w14:paraId="7B6EE74B" w14:textId="77777777" w:rsidTr="00D44CF3">
        <w:tc>
          <w:tcPr>
            <w:tcW w:w="14760" w:type="dxa"/>
            <w:gridSpan w:val="3"/>
            <w:shd w:val="clear" w:color="auto" w:fill="FBE4D5" w:themeFill="accent2" w:themeFillTint="33"/>
            <w:vAlign w:val="center"/>
          </w:tcPr>
          <w:p w14:paraId="154B0E43" w14:textId="77777777" w:rsidR="00D44CF3" w:rsidRPr="00A41E83" w:rsidRDefault="00D44CF3" w:rsidP="00D44CF3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ДЕЙНОСТ 2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:</w:t>
            </w:r>
            <w:r w:rsidRPr="00A41E83">
              <w:rPr>
                <w:rFonts w:ascii="Times New Roman" w:eastAsia="Times New Roman" w:hAnsi="Times New Roman" w:cs="Times New Roman"/>
                <w:noProof/>
                <w:lang w:val="bg-BG" w:eastAsia="bg-BG"/>
              </w:rPr>
              <w:t xml:space="preserve"> </w:t>
            </w: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Следи се за целесъобразност при финансовото управление, включително при сключване на договори и използване на заеми, при изчисляване на ресурси, приходи и резерви, и при използване на допълнителни приходи.</w:t>
            </w:r>
          </w:p>
        </w:tc>
      </w:tr>
      <w:tr w:rsidR="00D44CF3" w:rsidRPr="00A41E83" w14:paraId="559D942C" w14:textId="77777777" w:rsidTr="00D44CF3">
        <w:tc>
          <w:tcPr>
            <w:tcW w:w="8789" w:type="dxa"/>
            <w:shd w:val="clear" w:color="auto" w:fill="auto"/>
            <w:vAlign w:val="center"/>
          </w:tcPr>
          <w:p w14:paraId="68AC28F9" w14:textId="77777777" w:rsidR="00D44CF3" w:rsidRPr="00A41E83" w:rsidRDefault="00D44CF3" w:rsidP="00D44CF3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2. Приети организационни документи определят финансовите отговорности, които важат за всички общински служители.</w:t>
            </w:r>
          </w:p>
        </w:tc>
        <w:tc>
          <w:tcPr>
            <w:tcW w:w="3544" w:type="dxa"/>
            <w:shd w:val="clear" w:color="auto" w:fill="FFFFFF" w:themeFill="background1"/>
            <w:vAlign w:val="center"/>
          </w:tcPr>
          <w:p w14:paraId="2FACB4B2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D5414">
              <w:rPr>
                <w:rFonts w:ascii="Times New Roman" w:eastAsia="Calibri" w:hAnsi="Times New Roman" w:cs="Times New Roman"/>
                <w:lang w:val="bg-BG"/>
              </w:rPr>
              <w:t xml:space="preserve">В община Тетевен са приети ясни и обвързващи организационни документи, които дефинират финансовите отговорности на всички нива в администрацията. Това осигурява прозрачност, отчетност и контрол върху управлението на публичните средства. </w:t>
            </w:r>
            <w:r>
              <w:rPr>
                <w:rFonts w:ascii="Times New Roman" w:eastAsia="Calibri" w:hAnsi="Times New Roman" w:cs="Times New Roman"/>
                <w:lang w:val="bg-BG"/>
              </w:rPr>
              <w:t>Това се</w:t>
            </w:r>
            <w:r w:rsidRPr="00BD5414">
              <w:rPr>
                <w:rFonts w:ascii="Times New Roman" w:eastAsia="Calibri" w:hAnsi="Times New Roman" w:cs="Times New Roman"/>
                <w:lang w:val="bg-BG"/>
              </w:rPr>
              <w:t xml:space="preserve"> потвърждава по няколко направления:</w:t>
            </w:r>
          </w:p>
          <w:p w14:paraId="0F9CDB25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BD5414">
              <w:rPr>
                <w:rFonts w:ascii="Times New Roman" w:eastAsia="Calibri" w:hAnsi="Times New Roman" w:cs="Times New Roman"/>
                <w:lang w:val="bg-BG"/>
              </w:rPr>
              <w:t>Вътрешният Правилник за вътрешния ред и организация на общинската администрация съдържа конкретни функции и отговорности на длъжностните лица по отношение на:</w:t>
            </w:r>
          </w:p>
          <w:p w14:paraId="0F8FE30D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D5414">
              <w:rPr>
                <w:rFonts w:ascii="Times New Roman" w:eastAsia="Calibri" w:hAnsi="Times New Roman" w:cs="Times New Roman"/>
                <w:lang w:val="bg-BG"/>
              </w:rPr>
              <w:t>– планиране на разходите</w:t>
            </w:r>
          </w:p>
          <w:p w14:paraId="1E061D93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D5414">
              <w:rPr>
                <w:rFonts w:ascii="Times New Roman" w:eastAsia="Calibri" w:hAnsi="Times New Roman" w:cs="Times New Roman"/>
                <w:lang w:val="bg-BG"/>
              </w:rPr>
              <w:t>– контрол на бюджетното изпълнение</w:t>
            </w:r>
          </w:p>
          <w:p w14:paraId="6BA95E8D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D5414">
              <w:rPr>
                <w:rFonts w:ascii="Times New Roman" w:eastAsia="Calibri" w:hAnsi="Times New Roman" w:cs="Times New Roman"/>
                <w:lang w:val="bg-BG"/>
              </w:rPr>
              <w:t>– възлагане и разходване на средства</w:t>
            </w:r>
          </w:p>
          <w:p w14:paraId="5B9D325E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D5414">
              <w:rPr>
                <w:rFonts w:ascii="Times New Roman" w:eastAsia="Calibri" w:hAnsi="Times New Roman" w:cs="Times New Roman"/>
                <w:lang w:val="bg-BG"/>
              </w:rPr>
              <w:t>– изготвяне на справки и финансови отчети</w:t>
            </w:r>
          </w:p>
          <w:p w14:paraId="38A236C3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421B9EEC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-</w:t>
            </w:r>
            <w:r w:rsidRPr="00BD5414">
              <w:rPr>
                <w:rFonts w:ascii="Times New Roman" w:eastAsia="Calibri" w:hAnsi="Times New Roman" w:cs="Times New Roman"/>
                <w:lang w:val="bg-BG"/>
              </w:rPr>
              <w:t>Функционалната структура на администрацията, публикувана на официалния сайт, ясно разграничава правомощията на кмета, заместник-кметовете, секретаря, началниците на отдели и финансовите експерти – всеки от тях носи конкретна отчетна и контролна роля.</w:t>
            </w:r>
          </w:p>
          <w:p w14:paraId="38AC9389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BD5414">
              <w:rPr>
                <w:rFonts w:ascii="Times New Roman" w:eastAsia="Calibri" w:hAnsi="Times New Roman" w:cs="Times New Roman"/>
                <w:lang w:val="bg-BG"/>
              </w:rPr>
              <w:t>Във връзка с управлението на средствата по оперативни програми и други външни източници, общината е въвела процедури и правила за управление на проекти, вкл. разпределение на отговорностите за бюджетиране, отчитане и верификация на разходите.</w:t>
            </w:r>
          </w:p>
          <w:p w14:paraId="4FA4B367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BD5414">
              <w:rPr>
                <w:rFonts w:ascii="Times New Roman" w:eastAsia="Calibri" w:hAnsi="Times New Roman" w:cs="Times New Roman"/>
                <w:lang w:val="bg-BG"/>
              </w:rPr>
              <w:t>Наръчници и вътрешни правила за финансово управление и контрол, изготвени в съответствие със Закона за публичните финанси и Наредба № 5 за вътрешните правила на второстепенните разпоредители с бюджет, осигуряват унифицирано и съгласувано прилагане на добри практики.</w:t>
            </w:r>
          </w:p>
          <w:p w14:paraId="7C835EF1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BD5414">
              <w:rPr>
                <w:rFonts w:ascii="Times New Roman" w:eastAsia="Calibri" w:hAnsi="Times New Roman" w:cs="Times New Roman"/>
                <w:lang w:val="bg-BG"/>
              </w:rPr>
              <w:t xml:space="preserve">При констатирани нарушения, ясно се прилагат механизми за дисциплинарна и административна </w:t>
            </w:r>
            <w:r w:rsidRPr="00BD5414">
              <w:rPr>
                <w:rFonts w:ascii="Times New Roman" w:eastAsia="Calibri" w:hAnsi="Times New Roman" w:cs="Times New Roman"/>
                <w:lang w:val="bg-BG"/>
              </w:rPr>
              <w:lastRenderedPageBreak/>
              <w:t>отговорност, както и външен одит от Сметната палата и АДФИ, което допълнително затвърждава принципа на персонална финансова отчетност.</w:t>
            </w:r>
          </w:p>
          <w:p w14:paraId="56DE2C4D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24565D6A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D5414">
              <w:rPr>
                <w:rFonts w:ascii="Times New Roman" w:eastAsia="Calibri" w:hAnsi="Times New Roman" w:cs="Times New Roman"/>
                <w:lang w:val="bg-BG"/>
              </w:rPr>
              <w:t>Така в Община Тетевен е осигурена не само формална, но и функционална яснота по отношение на финансовите отговорности, която е в основата на доброто публично управление.</w:t>
            </w:r>
          </w:p>
          <w:p w14:paraId="204A8460" w14:textId="77777777" w:rsidR="00D44CF3" w:rsidRPr="008573D0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</w:tc>
        <w:tc>
          <w:tcPr>
            <w:tcW w:w="2427" w:type="dxa"/>
            <w:shd w:val="clear" w:color="auto" w:fill="FFFFFF" w:themeFill="background1"/>
            <w:vAlign w:val="center"/>
          </w:tcPr>
          <w:p w14:paraId="65C51AAF" w14:textId="05F7F030" w:rsidR="00D44CF3" w:rsidRPr="00A41E83" w:rsidRDefault="00C5095F" w:rsidP="00C5095F">
            <w:pPr>
              <w:jc w:val="center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C5095F">
              <w:rPr>
                <w:rFonts w:ascii="Times New Roman" w:eastAsia="Calibri" w:hAnsi="Times New Roman" w:cs="Times New Roman"/>
                <w:bCs/>
                <w:lang w:val="bg-BG"/>
              </w:rPr>
              <w:lastRenderedPageBreak/>
              <w:t>ДА</w:t>
            </w:r>
          </w:p>
        </w:tc>
      </w:tr>
      <w:tr w:rsidR="00D44CF3" w:rsidRPr="00A41E83" w14:paraId="398F113E" w14:textId="77777777" w:rsidTr="00D44CF3">
        <w:tc>
          <w:tcPr>
            <w:tcW w:w="8789" w:type="dxa"/>
            <w:shd w:val="clear" w:color="auto" w:fill="auto"/>
            <w:vAlign w:val="center"/>
          </w:tcPr>
          <w:p w14:paraId="194A4BB5" w14:textId="77777777" w:rsidR="00D44CF3" w:rsidRPr="00A41E83" w:rsidRDefault="00D44CF3" w:rsidP="00D44CF3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Индикатор 3.</w:t>
            </w:r>
            <w:r w:rsidRPr="00A41E83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</w:t>
            </w:r>
            <w:r w:rsidRPr="00A41E83">
              <w:rPr>
                <w:rFonts w:ascii="Times New Roman" w:eastAsia="Calibri" w:hAnsi="Times New Roman" w:cs="Times New Roman"/>
                <w:b/>
                <w:bCs/>
                <w:iCs/>
                <w:noProof/>
                <w:lang w:val="bg-BG" w:eastAsia="bg-BG"/>
              </w:rPr>
              <w:t>Вътрешния одит проверява финансовите операции, за да се осигури съответствие с одобрените вътрешни процедури. Прилага се и редовно се актуализира Система за финансово управление и контрол.</w:t>
            </w:r>
          </w:p>
        </w:tc>
        <w:tc>
          <w:tcPr>
            <w:tcW w:w="3544" w:type="dxa"/>
            <w:shd w:val="clear" w:color="auto" w:fill="FFFFFF" w:themeFill="background1"/>
            <w:vAlign w:val="center"/>
          </w:tcPr>
          <w:p w14:paraId="52470B8F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D5414">
              <w:rPr>
                <w:rFonts w:ascii="Times New Roman" w:eastAsia="Calibri" w:hAnsi="Times New Roman" w:cs="Times New Roman"/>
                <w:lang w:val="bg-BG"/>
              </w:rPr>
              <w:t xml:space="preserve">Община Тетевен прилага ефективна практика за редовно докладване на разходите и изпълнението на бюджета, което осигурява прозрачност, отчетност и възможност за последващ контрол от страна на институциите и гражданите. </w:t>
            </w:r>
            <w:r>
              <w:rPr>
                <w:rFonts w:ascii="Times New Roman" w:eastAsia="Calibri" w:hAnsi="Times New Roman" w:cs="Times New Roman"/>
                <w:lang w:val="bg-BG"/>
              </w:rPr>
              <w:t>Това се подкрепя</w:t>
            </w:r>
            <w:r w:rsidRPr="00BD5414">
              <w:rPr>
                <w:rFonts w:ascii="Times New Roman" w:eastAsia="Calibri" w:hAnsi="Times New Roman" w:cs="Times New Roman"/>
                <w:lang w:val="bg-BG"/>
              </w:rPr>
              <w:t xml:space="preserve"> чрез следните аспекти:</w:t>
            </w:r>
          </w:p>
          <w:p w14:paraId="0A935E9E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52A19BEE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BD5414">
              <w:rPr>
                <w:rFonts w:ascii="Times New Roman" w:eastAsia="Calibri" w:hAnsi="Times New Roman" w:cs="Times New Roman"/>
                <w:lang w:val="bg-BG"/>
              </w:rPr>
              <w:t>В съответствие със Закона за публичните финанси, общината подготвя и публикува:</w:t>
            </w:r>
          </w:p>
          <w:p w14:paraId="1CE7CCB5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D5414">
              <w:rPr>
                <w:rFonts w:ascii="Times New Roman" w:eastAsia="Calibri" w:hAnsi="Times New Roman" w:cs="Times New Roman"/>
                <w:lang w:val="bg-BG"/>
              </w:rPr>
              <w:t>– Тримесечни и годишни отчети за касово изпълнение на бюджета, включително по отделни функции и параграфи</w:t>
            </w:r>
          </w:p>
          <w:p w14:paraId="03A50E07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D5414">
              <w:rPr>
                <w:rFonts w:ascii="Times New Roman" w:eastAsia="Calibri" w:hAnsi="Times New Roman" w:cs="Times New Roman"/>
                <w:lang w:val="bg-BG"/>
              </w:rPr>
              <w:lastRenderedPageBreak/>
              <w:t>– Годишен отчет за изпълнението на бюджета, който се разглежда от Общинския съвет и подлежи на публично обсъждане</w:t>
            </w:r>
          </w:p>
          <w:p w14:paraId="6E17E6F3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D5414">
              <w:rPr>
                <w:rFonts w:ascii="Times New Roman" w:eastAsia="Calibri" w:hAnsi="Times New Roman" w:cs="Times New Roman"/>
                <w:lang w:val="bg-BG"/>
              </w:rPr>
              <w:t>– Отчети за приходите и разходите по програми и проекти, вкл. финансирани от ЕС</w:t>
            </w:r>
          </w:p>
          <w:p w14:paraId="2603F243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BD5414">
              <w:rPr>
                <w:rFonts w:ascii="Times New Roman" w:eastAsia="Calibri" w:hAnsi="Times New Roman" w:cs="Times New Roman"/>
                <w:lang w:val="bg-BG"/>
              </w:rPr>
              <w:t>Докладите включват сравнение между планирани и реално извършени разходи, както и анализ на причините за отклонения. Това позволява на ръководството да предприема информирани коригиращи действия.</w:t>
            </w:r>
          </w:p>
          <w:p w14:paraId="0071C318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BD5414">
              <w:rPr>
                <w:rFonts w:ascii="Times New Roman" w:eastAsia="Calibri" w:hAnsi="Times New Roman" w:cs="Times New Roman"/>
                <w:lang w:val="bg-BG"/>
              </w:rPr>
              <w:t>Общината поддържа раздел „Бюджет и финанси“ на своя уебсайт, където системно се публикуват:</w:t>
            </w:r>
          </w:p>
          <w:p w14:paraId="27561F86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D5414">
              <w:rPr>
                <w:rFonts w:ascii="Times New Roman" w:eastAsia="Calibri" w:hAnsi="Times New Roman" w:cs="Times New Roman"/>
                <w:lang w:val="bg-BG"/>
              </w:rPr>
              <w:t>– проекти на бюджет</w:t>
            </w:r>
          </w:p>
          <w:p w14:paraId="2E042D2D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D5414">
              <w:rPr>
                <w:rFonts w:ascii="Times New Roman" w:eastAsia="Calibri" w:hAnsi="Times New Roman" w:cs="Times New Roman"/>
                <w:lang w:val="bg-BG"/>
              </w:rPr>
              <w:t>– приет бюджет</w:t>
            </w:r>
          </w:p>
          <w:p w14:paraId="7145DFFD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D5414">
              <w:rPr>
                <w:rFonts w:ascii="Times New Roman" w:eastAsia="Calibri" w:hAnsi="Times New Roman" w:cs="Times New Roman"/>
                <w:lang w:val="bg-BG"/>
              </w:rPr>
              <w:t>– отчетни документи</w:t>
            </w:r>
          </w:p>
          <w:p w14:paraId="20AEDDCB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D5414">
              <w:rPr>
                <w:rFonts w:ascii="Times New Roman" w:eastAsia="Calibri" w:hAnsi="Times New Roman" w:cs="Times New Roman"/>
                <w:lang w:val="bg-BG"/>
              </w:rPr>
              <w:t>– справки по различни направления (капиталови разходи, субсидии и др.)</w:t>
            </w:r>
          </w:p>
          <w:p w14:paraId="6F7F6DC4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BD5414">
              <w:rPr>
                <w:rFonts w:ascii="Times New Roman" w:eastAsia="Calibri" w:hAnsi="Times New Roman" w:cs="Times New Roman"/>
                <w:lang w:val="bg-BG"/>
              </w:rPr>
              <w:t>Приет е вътрешен контролен механизъм, чрез който се проследява не само законността на разходите, но и ефективността и целесъобразността им.</w:t>
            </w:r>
          </w:p>
          <w:p w14:paraId="06A2DAD0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30B1128A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-</w:t>
            </w:r>
            <w:r w:rsidRPr="00BD5414">
              <w:rPr>
                <w:rFonts w:ascii="Times New Roman" w:eastAsia="Calibri" w:hAnsi="Times New Roman" w:cs="Times New Roman"/>
                <w:lang w:val="bg-BG"/>
              </w:rPr>
              <w:t>Провеждат се обществено достъпни заседания на ОбС, на които се приемат бюджетни отчети – включително възможност за изказвания и въпроси от граждани и заинтересовани страни.</w:t>
            </w:r>
          </w:p>
          <w:p w14:paraId="1420FBB9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5065958A" w14:textId="77777777" w:rsidR="00D44CF3" w:rsidRPr="008573D0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D5414">
              <w:rPr>
                <w:rFonts w:ascii="Times New Roman" w:eastAsia="Calibri" w:hAnsi="Times New Roman" w:cs="Times New Roman"/>
                <w:lang w:val="bg-BG"/>
              </w:rPr>
              <w:t>Тези практики показват, че община Тетевен не само изпълнява нормативните изисквания, но и прилага прозрачен и ангажиран с отговорността подход към финансовото управление, при което редовното докладване е инструмент за добро управление, а не само административно изискване</w:t>
            </w:r>
          </w:p>
        </w:tc>
        <w:tc>
          <w:tcPr>
            <w:tcW w:w="2427" w:type="dxa"/>
            <w:shd w:val="clear" w:color="auto" w:fill="FFFFFF" w:themeFill="background1"/>
            <w:vAlign w:val="center"/>
          </w:tcPr>
          <w:p w14:paraId="6426A4D9" w14:textId="2F87D8EA" w:rsidR="00D44CF3" w:rsidRPr="00A41E83" w:rsidRDefault="00C5095F" w:rsidP="00C5095F">
            <w:pPr>
              <w:jc w:val="center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C5095F">
              <w:rPr>
                <w:rFonts w:ascii="Times New Roman" w:eastAsia="Calibri" w:hAnsi="Times New Roman" w:cs="Times New Roman"/>
                <w:bCs/>
                <w:lang w:val="bg-BG"/>
              </w:rPr>
              <w:lastRenderedPageBreak/>
              <w:t>ДА</w:t>
            </w:r>
          </w:p>
        </w:tc>
      </w:tr>
      <w:tr w:rsidR="00D44CF3" w:rsidRPr="00A41E83" w14:paraId="303EB9D5" w14:textId="77777777" w:rsidTr="00D44CF3">
        <w:tc>
          <w:tcPr>
            <w:tcW w:w="8789" w:type="dxa"/>
            <w:shd w:val="clear" w:color="auto" w:fill="auto"/>
            <w:vAlign w:val="center"/>
          </w:tcPr>
          <w:p w14:paraId="40954D64" w14:textId="77777777" w:rsidR="00D44CF3" w:rsidRPr="00A41E83" w:rsidRDefault="00D44CF3" w:rsidP="00D44CF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 xml:space="preserve">Индикатор 4. </w:t>
            </w:r>
            <w:r w:rsidRPr="00A41E83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Представят се редовни отчети на длъжностните лица и изборните представители, сравняващи действителните приходи и разходи с бюджета.</w:t>
            </w:r>
          </w:p>
        </w:tc>
        <w:tc>
          <w:tcPr>
            <w:tcW w:w="3544" w:type="dxa"/>
            <w:shd w:val="clear" w:color="auto" w:fill="FFFFFF" w:themeFill="background1"/>
            <w:vAlign w:val="center"/>
          </w:tcPr>
          <w:p w14:paraId="3AC6D550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D5414">
              <w:rPr>
                <w:rFonts w:ascii="Times New Roman" w:eastAsia="Calibri" w:hAnsi="Times New Roman" w:cs="Times New Roman"/>
                <w:lang w:val="bg-BG"/>
              </w:rPr>
              <w:t xml:space="preserve">Община Тетевен прилага вътрешни механизми за ефективен контрол и управление на финансовия риск, които са интегрирани в нейната структура и оперативни процеси. </w:t>
            </w:r>
            <w:r>
              <w:rPr>
                <w:rFonts w:ascii="Times New Roman" w:eastAsia="Calibri" w:hAnsi="Times New Roman" w:cs="Times New Roman"/>
                <w:lang w:val="bg-BG"/>
              </w:rPr>
              <w:t>Ф</w:t>
            </w:r>
            <w:r w:rsidRPr="00BD5414">
              <w:rPr>
                <w:rFonts w:ascii="Times New Roman" w:eastAsia="Calibri" w:hAnsi="Times New Roman" w:cs="Times New Roman"/>
                <w:lang w:val="bg-BG"/>
              </w:rPr>
              <w:t>инансовото управление в общината е не само съобразено със закона, но и ориентирано към превенция на грешки, злоупотреби и неефективно разходване на публични средства.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BD5414">
              <w:rPr>
                <w:rFonts w:ascii="Times New Roman" w:eastAsia="Calibri" w:hAnsi="Times New Roman" w:cs="Times New Roman"/>
                <w:lang w:val="bg-BG"/>
              </w:rPr>
              <w:t>Конкретните доказателства включват:</w:t>
            </w:r>
          </w:p>
          <w:p w14:paraId="78F22BAF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7D82DFAB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-</w:t>
            </w:r>
            <w:r w:rsidRPr="00BD5414">
              <w:rPr>
                <w:rFonts w:ascii="Times New Roman" w:eastAsia="Calibri" w:hAnsi="Times New Roman" w:cs="Times New Roman"/>
                <w:lang w:val="bg-BG"/>
              </w:rPr>
              <w:t>Приет и актуализиран Вътрешен правилник за финансово управление и контрол, разработен съгласно Закона за публичните финанси и насоките на Министерството на финансите. В него са регламентирани:</w:t>
            </w:r>
          </w:p>
          <w:p w14:paraId="20CB9025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D5414">
              <w:rPr>
                <w:rFonts w:ascii="Times New Roman" w:eastAsia="Calibri" w:hAnsi="Times New Roman" w:cs="Times New Roman"/>
                <w:lang w:val="bg-BG"/>
              </w:rPr>
              <w:t>– политики по управление на риска</w:t>
            </w:r>
          </w:p>
          <w:p w14:paraId="3C659A02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D5414">
              <w:rPr>
                <w:rFonts w:ascii="Times New Roman" w:eastAsia="Calibri" w:hAnsi="Times New Roman" w:cs="Times New Roman"/>
                <w:lang w:val="bg-BG"/>
              </w:rPr>
              <w:t>– процедури за вътрешен одит</w:t>
            </w:r>
          </w:p>
          <w:p w14:paraId="20D20BE8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D5414">
              <w:rPr>
                <w:rFonts w:ascii="Times New Roman" w:eastAsia="Calibri" w:hAnsi="Times New Roman" w:cs="Times New Roman"/>
                <w:lang w:val="bg-BG"/>
              </w:rPr>
              <w:t>– контролни дейности, документооборот и отчетност</w:t>
            </w:r>
          </w:p>
          <w:p w14:paraId="351F7A34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BD5414">
              <w:rPr>
                <w:rFonts w:ascii="Times New Roman" w:eastAsia="Calibri" w:hAnsi="Times New Roman" w:cs="Times New Roman"/>
                <w:lang w:val="bg-BG"/>
              </w:rPr>
              <w:t>Функционира звено/експерт по вътрешен одит, което изготвя годишен план за одитна дейност и одитни доклади, предоставяни на кмета и Общинския съвет. Констатациите водят до реални коригиращи действия.</w:t>
            </w:r>
          </w:p>
          <w:p w14:paraId="139FFC34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BD5414">
              <w:rPr>
                <w:rFonts w:ascii="Times New Roman" w:eastAsia="Calibri" w:hAnsi="Times New Roman" w:cs="Times New Roman"/>
                <w:lang w:val="bg-BG"/>
              </w:rPr>
              <w:t>Идентифицирани са зони с повишен финансов риск – напр. обществени поръчки, управление на имоти, социални плащания – и са приложени специални процедури за наблюдение и контрол.</w:t>
            </w:r>
          </w:p>
          <w:p w14:paraId="7B9B0C29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BD5414">
              <w:rPr>
                <w:rFonts w:ascii="Times New Roman" w:eastAsia="Calibri" w:hAnsi="Times New Roman" w:cs="Times New Roman"/>
                <w:lang w:val="bg-BG"/>
              </w:rPr>
              <w:t>Рисковете се документират и оценяват чрез риск-регистър, актуализиран поне веднъж годишно. За всеки идентифициран риск се определят:</w:t>
            </w:r>
          </w:p>
          <w:p w14:paraId="062E86B8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D5414">
              <w:rPr>
                <w:rFonts w:ascii="Times New Roman" w:eastAsia="Calibri" w:hAnsi="Times New Roman" w:cs="Times New Roman"/>
                <w:lang w:val="bg-BG"/>
              </w:rPr>
              <w:t>– вероятност и въздействие</w:t>
            </w:r>
          </w:p>
          <w:p w14:paraId="41F30434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D5414">
              <w:rPr>
                <w:rFonts w:ascii="Times New Roman" w:eastAsia="Calibri" w:hAnsi="Times New Roman" w:cs="Times New Roman"/>
                <w:lang w:val="bg-BG"/>
              </w:rPr>
              <w:lastRenderedPageBreak/>
              <w:t>– отговорно звено</w:t>
            </w:r>
          </w:p>
          <w:p w14:paraId="22F5240C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D5414">
              <w:rPr>
                <w:rFonts w:ascii="Times New Roman" w:eastAsia="Calibri" w:hAnsi="Times New Roman" w:cs="Times New Roman"/>
                <w:lang w:val="bg-BG"/>
              </w:rPr>
              <w:t>– мерки за ограничаване/предотвратяване</w:t>
            </w:r>
          </w:p>
          <w:p w14:paraId="31749C14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BD5414">
              <w:rPr>
                <w:rFonts w:ascii="Times New Roman" w:eastAsia="Calibri" w:hAnsi="Times New Roman" w:cs="Times New Roman"/>
                <w:lang w:val="bg-BG"/>
              </w:rPr>
              <w:t>Община Тетевен участва в обучения и инициативи за подобряване на капацитета по темата, включително по европейски проекти, свързани с добро финансово управление.</w:t>
            </w:r>
          </w:p>
          <w:p w14:paraId="61947C30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BD5414">
              <w:rPr>
                <w:rFonts w:ascii="Times New Roman" w:eastAsia="Calibri" w:hAnsi="Times New Roman" w:cs="Times New Roman"/>
                <w:lang w:val="bg-BG"/>
              </w:rPr>
              <w:t>На публично ниво се наблюдава висока степен на прозрачност, което допринася за външен контрол и минимизиране на репутационни и правни рискове.</w:t>
            </w:r>
          </w:p>
          <w:p w14:paraId="186D1DDF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2D1FC516" w14:textId="77777777" w:rsidR="00D44CF3" w:rsidRPr="008573D0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D5414">
              <w:rPr>
                <w:rFonts w:ascii="Times New Roman" w:eastAsia="Calibri" w:hAnsi="Times New Roman" w:cs="Times New Roman"/>
                <w:lang w:val="bg-BG"/>
              </w:rPr>
              <w:t>Всичко това показва, че в община Тетевен е внедрен системен, проактивен и доказуем подход за вътрешен контрол и управление на риска, отговарящ на принципите за добро и отговорно местно самоуправление.</w:t>
            </w:r>
          </w:p>
        </w:tc>
        <w:tc>
          <w:tcPr>
            <w:tcW w:w="2427" w:type="dxa"/>
            <w:shd w:val="clear" w:color="auto" w:fill="FFFFFF" w:themeFill="background1"/>
            <w:vAlign w:val="center"/>
          </w:tcPr>
          <w:p w14:paraId="36D8A500" w14:textId="5D384794" w:rsidR="00D44CF3" w:rsidRPr="00A41E83" w:rsidRDefault="00C5095F" w:rsidP="00C5095F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5095F">
              <w:rPr>
                <w:rFonts w:ascii="Times New Roman" w:eastAsia="Calibri" w:hAnsi="Times New Roman" w:cs="Times New Roman"/>
                <w:bCs/>
                <w:lang w:val="bg-BG"/>
              </w:rPr>
              <w:lastRenderedPageBreak/>
              <w:t>ДА</w:t>
            </w:r>
          </w:p>
        </w:tc>
      </w:tr>
      <w:tr w:rsidR="00D44CF3" w:rsidRPr="00A41E83" w14:paraId="372BA0F3" w14:textId="77777777" w:rsidTr="00D44CF3">
        <w:tc>
          <w:tcPr>
            <w:tcW w:w="8789" w:type="dxa"/>
            <w:shd w:val="clear" w:color="auto" w:fill="auto"/>
            <w:vAlign w:val="center"/>
          </w:tcPr>
          <w:p w14:paraId="716BE922" w14:textId="77777777" w:rsidR="00D44CF3" w:rsidRPr="00A41E83" w:rsidRDefault="00D44CF3" w:rsidP="00D44CF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Индикатор 5. Сметките се одитират от лица, които са независими от общината.</w:t>
            </w:r>
          </w:p>
        </w:tc>
        <w:tc>
          <w:tcPr>
            <w:tcW w:w="3544" w:type="dxa"/>
            <w:shd w:val="clear" w:color="auto" w:fill="FFFFFF" w:themeFill="background1"/>
            <w:vAlign w:val="center"/>
          </w:tcPr>
          <w:p w14:paraId="53DBA580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D5414">
              <w:rPr>
                <w:rFonts w:ascii="Times New Roman" w:eastAsia="Calibri" w:hAnsi="Times New Roman" w:cs="Times New Roman"/>
                <w:lang w:val="bg-BG"/>
              </w:rPr>
              <w:t xml:space="preserve">Община Тетевен прилага механизми за мониторинг и контрол на ефективността на разходите, които са неразделна част от нейното стратегическо и оперативно управление. </w:t>
            </w:r>
            <w:r>
              <w:rPr>
                <w:rFonts w:ascii="Times New Roman" w:eastAsia="Calibri" w:hAnsi="Times New Roman" w:cs="Times New Roman"/>
                <w:lang w:val="bg-BG"/>
              </w:rPr>
              <w:t>Т</w:t>
            </w:r>
            <w:r w:rsidRPr="00BD5414">
              <w:rPr>
                <w:rFonts w:ascii="Times New Roman" w:eastAsia="Calibri" w:hAnsi="Times New Roman" w:cs="Times New Roman"/>
                <w:lang w:val="bg-BG"/>
              </w:rPr>
              <w:t xml:space="preserve">ези механизми са институционализирани, редовни и съгласувани с принципите за добро </w:t>
            </w:r>
            <w:r w:rsidRPr="00BD5414">
              <w:rPr>
                <w:rFonts w:ascii="Times New Roman" w:eastAsia="Calibri" w:hAnsi="Times New Roman" w:cs="Times New Roman"/>
                <w:lang w:val="bg-BG"/>
              </w:rPr>
              <w:lastRenderedPageBreak/>
              <w:t>финансово управление.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BD5414">
              <w:rPr>
                <w:rFonts w:ascii="Times New Roman" w:eastAsia="Calibri" w:hAnsi="Times New Roman" w:cs="Times New Roman"/>
                <w:lang w:val="bg-BG"/>
              </w:rPr>
              <w:t>Конкретните доказателства включват:</w:t>
            </w:r>
          </w:p>
          <w:p w14:paraId="2C690BEC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BD5414">
              <w:rPr>
                <w:rFonts w:ascii="Times New Roman" w:eastAsia="Calibri" w:hAnsi="Times New Roman" w:cs="Times New Roman"/>
                <w:lang w:val="bg-BG"/>
              </w:rPr>
              <w:t>В годишните и тримесечните бюджетни отчети и в отчета за изпълнение на капиталовите разходи се включват данни за постигнатите резултати спрямо вложените ресурси. Тези отчети се разглеждат от Общинския съвет и се публикуват за обществен достъп.</w:t>
            </w:r>
          </w:p>
          <w:p w14:paraId="54FB3034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BD5414">
              <w:rPr>
                <w:rFonts w:ascii="Times New Roman" w:eastAsia="Calibri" w:hAnsi="Times New Roman" w:cs="Times New Roman"/>
                <w:lang w:val="bg-BG"/>
              </w:rPr>
              <w:t>При разработване на бюджета се използва програмно-целеви подход, при който разходите по отделните функции се обвързват с конкретни индикатори за изпълнение (напр. брой обслужени граждани, ремонтирани обекти, реализирани социални мерки). Това позволява впоследствие да се измери ефективността на изразходваните средства.</w:t>
            </w:r>
          </w:p>
          <w:p w14:paraId="43752211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BD5414">
              <w:rPr>
                <w:rFonts w:ascii="Times New Roman" w:eastAsia="Calibri" w:hAnsi="Times New Roman" w:cs="Times New Roman"/>
                <w:lang w:val="bg-BG"/>
              </w:rPr>
              <w:t>При изпълнението на проекти, финансирани от външни източници (ЕС, държавни фондове), се прилагат допълнителни индикатори за ефективност и устойчивост, които се верифицират от управляващи органи и външни одитори.</w:t>
            </w:r>
          </w:p>
          <w:p w14:paraId="7FA8C495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-</w:t>
            </w:r>
            <w:r w:rsidRPr="00BD5414">
              <w:rPr>
                <w:rFonts w:ascii="Times New Roman" w:eastAsia="Calibri" w:hAnsi="Times New Roman" w:cs="Times New Roman"/>
                <w:lang w:val="bg-BG"/>
              </w:rPr>
              <w:t>Вътрешният одит извършва проверки на икономичност и ефикасност, а не само на законосъобразност, като резултатите от тях водят до подобряване на процесите (напр. съкращаване на административни разходи, оптимизация на договори и доставки).</w:t>
            </w:r>
          </w:p>
          <w:p w14:paraId="088A833D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BD5414">
              <w:rPr>
                <w:rFonts w:ascii="Times New Roman" w:eastAsia="Calibri" w:hAnsi="Times New Roman" w:cs="Times New Roman"/>
                <w:lang w:val="bg-BG"/>
              </w:rPr>
              <w:t>В някои случаи се провеждат и анализи „разход–полза“ или „разход–ефект“, особено при проекти в инфраструктурата, социалната и културната сфера, което позволява оценка на обществената полза спрямо инвестицията.</w:t>
            </w:r>
          </w:p>
          <w:p w14:paraId="44D97F6B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BD5414">
              <w:rPr>
                <w:rFonts w:ascii="Times New Roman" w:eastAsia="Calibri" w:hAnsi="Times New Roman" w:cs="Times New Roman"/>
                <w:lang w:val="bg-BG"/>
              </w:rPr>
              <w:t>Налице е ангажимент за непрекъснато подобрение чрез проследяване на несъответствия и въвеждане на препоръки от контролни органи (Сметна палата, АДФИ и др.).</w:t>
            </w:r>
          </w:p>
          <w:p w14:paraId="66FA17EA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2374695D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D5414">
              <w:rPr>
                <w:rFonts w:ascii="Times New Roman" w:eastAsia="Calibri" w:hAnsi="Times New Roman" w:cs="Times New Roman"/>
                <w:lang w:val="bg-BG"/>
              </w:rPr>
              <w:t xml:space="preserve">Така община Тетевен демонстрира, че ефективното управление на публичните средства не се измерва само с „усвояване“, а с реална оценка на резултатите спрямо вложените ресурси, което е в </w:t>
            </w:r>
            <w:r w:rsidRPr="00BD5414">
              <w:rPr>
                <w:rFonts w:ascii="Times New Roman" w:eastAsia="Calibri" w:hAnsi="Times New Roman" w:cs="Times New Roman"/>
                <w:lang w:val="bg-BG"/>
              </w:rPr>
              <w:lastRenderedPageBreak/>
              <w:t>сърцевината на доброто финансово управление на местно ниво.</w:t>
            </w:r>
          </w:p>
          <w:p w14:paraId="43FAEA34" w14:textId="77777777" w:rsidR="00D44CF3" w:rsidRPr="008573D0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</w:tc>
        <w:tc>
          <w:tcPr>
            <w:tcW w:w="2427" w:type="dxa"/>
            <w:shd w:val="clear" w:color="auto" w:fill="FFFFFF" w:themeFill="background1"/>
            <w:vAlign w:val="center"/>
          </w:tcPr>
          <w:p w14:paraId="0BF7A96E" w14:textId="63D24FD4" w:rsidR="00D44CF3" w:rsidRPr="00A41E83" w:rsidRDefault="00C5095F" w:rsidP="00C5095F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5095F">
              <w:rPr>
                <w:rFonts w:ascii="Times New Roman" w:eastAsia="Calibri" w:hAnsi="Times New Roman" w:cs="Times New Roman"/>
                <w:bCs/>
                <w:lang w:val="bg-BG"/>
              </w:rPr>
              <w:lastRenderedPageBreak/>
              <w:t>ДА</w:t>
            </w:r>
          </w:p>
        </w:tc>
      </w:tr>
      <w:tr w:rsidR="00D44CF3" w:rsidRPr="00A41E83" w14:paraId="57568F76" w14:textId="77777777" w:rsidTr="00D44CF3">
        <w:tc>
          <w:tcPr>
            <w:tcW w:w="8789" w:type="dxa"/>
            <w:shd w:val="clear" w:color="auto" w:fill="auto"/>
            <w:vAlign w:val="center"/>
          </w:tcPr>
          <w:p w14:paraId="1FCA68C4" w14:textId="77777777" w:rsidR="00D44CF3" w:rsidRPr="00A41E83" w:rsidRDefault="00D44CF3" w:rsidP="00D44CF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Индикатор 6. Извършените външни финансови одити и годишните одити се оповестяват публично.</w:t>
            </w:r>
          </w:p>
        </w:tc>
        <w:tc>
          <w:tcPr>
            <w:tcW w:w="3544" w:type="dxa"/>
            <w:shd w:val="clear" w:color="auto" w:fill="FFFFFF" w:themeFill="background1"/>
            <w:vAlign w:val="center"/>
          </w:tcPr>
          <w:p w14:paraId="3321DC8E" w14:textId="77777777" w:rsidR="00D44CF3" w:rsidRPr="00BD5414" w:rsidRDefault="00D44CF3" w:rsidP="00D44CF3">
            <w:pPr>
              <w:pStyle w:val="NormalWeb"/>
              <w:jc w:val="both"/>
              <w:rPr>
                <w:rFonts w:eastAsia="Calibri"/>
                <w:sz w:val="22"/>
                <w:szCs w:val="22"/>
                <w:lang w:val="bg-BG"/>
              </w:rPr>
            </w:pPr>
            <w:r w:rsidRPr="00BD5414">
              <w:rPr>
                <w:rFonts w:eastAsia="Calibri"/>
                <w:sz w:val="22"/>
                <w:szCs w:val="22"/>
                <w:lang w:val="bg-BG"/>
              </w:rPr>
              <w:t>Община Тетевен осигурява прозрачно и ефективно управление на обществените средства, което включва както яснота относно източниците и разходването на средствата, така и реална отчетност пре</w:t>
            </w:r>
            <w:r>
              <w:rPr>
                <w:rFonts w:eastAsia="Calibri"/>
                <w:sz w:val="22"/>
                <w:szCs w:val="22"/>
                <w:lang w:val="bg-BG"/>
              </w:rPr>
              <w:t xml:space="preserve">д Общинския съвет и гражданите. </w:t>
            </w:r>
            <w:r w:rsidRPr="00BD5414">
              <w:rPr>
                <w:rFonts w:eastAsia="Calibri"/>
                <w:sz w:val="22"/>
                <w:szCs w:val="22"/>
                <w:lang w:val="bg-BG"/>
              </w:rPr>
              <w:t>Наблюдават се следните добри практики:</w:t>
            </w:r>
          </w:p>
          <w:p w14:paraId="3516F3A7" w14:textId="77777777" w:rsidR="00D44CF3" w:rsidRPr="00BD5414" w:rsidRDefault="00D44CF3" w:rsidP="00D44CF3">
            <w:pPr>
              <w:pStyle w:val="NormalWeb"/>
              <w:jc w:val="both"/>
              <w:rPr>
                <w:rFonts w:eastAsia="Calibri"/>
                <w:sz w:val="22"/>
                <w:szCs w:val="22"/>
                <w:lang w:val="bg-BG"/>
              </w:rPr>
            </w:pPr>
            <w:r>
              <w:rPr>
                <w:rFonts w:eastAsia="Calibri"/>
                <w:sz w:val="22"/>
                <w:szCs w:val="22"/>
                <w:lang w:val="bg-BG"/>
              </w:rPr>
              <w:t>-</w:t>
            </w:r>
            <w:r w:rsidRPr="00BD5414">
              <w:rPr>
                <w:rFonts w:eastAsia="Calibri"/>
                <w:sz w:val="22"/>
                <w:szCs w:val="22"/>
                <w:lang w:val="bg-BG"/>
              </w:rPr>
              <w:t>Общината публикува в пълен обем годишния и тримесечните отчети за бюджета, както и отделно:</w:t>
            </w:r>
            <w:r w:rsidRPr="00BD5414">
              <w:rPr>
                <w:rFonts w:eastAsia="Calibri"/>
                <w:sz w:val="22"/>
                <w:szCs w:val="22"/>
                <w:lang w:val="bg-BG"/>
              </w:rPr>
              <w:br/>
              <w:t>– Програми за капиталови разходи</w:t>
            </w:r>
            <w:r w:rsidRPr="00BD5414">
              <w:rPr>
                <w:rFonts w:eastAsia="Calibri"/>
                <w:sz w:val="22"/>
                <w:szCs w:val="22"/>
                <w:lang w:val="bg-BG"/>
              </w:rPr>
              <w:br/>
              <w:t>– Разходи по функции и дейности</w:t>
            </w:r>
            <w:r w:rsidRPr="00BD5414">
              <w:rPr>
                <w:rFonts w:eastAsia="Calibri"/>
                <w:sz w:val="22"/>
                <w:szCs w:val="22"/>
                <w:lang w:val="bg-BG"/>
              </w:rPr>
              <w:br/>
              <w:t>– Изпълнение на проекти с външно финансиране</w:t>
            </w:r>
          </w:p>
          <w:p w14:paraId="4C8E0CC2" w14:textId="77777777" w:rsidR="00D44CF3" w:rsidRPr="00BD5414" w:rsidRDefault="00D44CF3" w:rsidP="00D44CF3">
            <w:pPr>
              <w:pStyle w:val="NormalWeb"/>
              <w:jc w:val="both"/>
              <w:rPr>
                <w:rFonts w:eastAsia="Calibri"/>
                <w:sz w:val="22"/>
                <w:szCs w:val="22"/>
                <w:lang w:val="bg-BG"/>
              </w:rPr>
            </w:pPr>
            <w:r>
              <w:rPr>
                <w:rFonts w:eastAsia="Calibri"/>
                <w:sz w:val="22"/>
                <w:szCs w:val="22"/>
                <w:lang w:val="bg-BG"/>
              </w:rPr>
              <w:t>-</w:t>
            </w:r>
            <w:r w:rsidRPr="00BD5414">
              <w:rPr>
                <w:rFonts w:eastAsia="Calibri"/>
                <w:sz w:val="22"/>
                <w:szCs w:val="22"/>
                <w:lang w:val="bg-BG"/>
              </w:rPr>
              <w:t>Всички документи са достъпни на интернет страницата на общината в раздел „Бюджет и финанси“, като са структурирани така, че да бъдат разбрани и от граждани без специализирана финансова подготовка.</w:t>
            </w:r>
          </w:p>
          <w:p w14:paraId="008C4612" w14:textId="77777777" w:rsidR="00D44CF3" w:rsidRPr="00BD5414" w:rsidRDefault="00D44CF3" w:rsidP="00D44CF3">
            <w:pPr>
              <w:pStyle w:val="NormalWeb"/>
              <w:jc w:val="both"/>
              <w:rPr>
                <w:rFonts w:eastAsia="Calibri"/>
                <w:sz w:val="22"/>
                <w:szCs w:val="22"/>
                <w:lang w:val="bg-BG"/>
              </w:rPr>
            </w:pPr>
            <w:r>
              <w:rPr>
                <w:rFonts w:eastAsia="Calibri"/>
                <w:sz w:val="22"/>
                <w:szCs w:val="22"/>
                <w:lang w:val="bg-BG"/>
              </w:rPr>
              <w:t>-</w:t>
            </w:r>
            <w:r w:rsidRPr="00BD5414">
              <w:rPr>
                <w:rFonts w:eastAsia="Calibri"/>
                <w:sz w:val="22"/>
                <w:szCs w:val="22"/>
                <w:lang w:val="bg-BG"/>
              </w:rPr>
              <w:t xml:space="preserve">На всяко редовно заседание на Общинския съвет се представят текущи справки и анализи по изпълнението на бюджета, като съветниците могат да изискват </w:t>
            </w:r>
            <w:r w:rsidRPr="00BD5414">
              <w:rPr>
                <w:rFonts w:eastAsia="Calibri"/>
                <w:sz w:val="22"/>
                <w:szCs w:val="22"/>
                <w:lang w:val="bg-BG"/>
              </w:rPr>
              <w:lastRenderedPageBreak/>
              <w:t>допълнителна информация или извършване на вътрешна проверка.</w:t>
            </w:r>
          </w:p>
          <w:p w14:paraId="2068E0FB" w14:textId="77777777" w:rsidR="00D44CF3" w:rsidRPr="00BD5414" w:rsidRDefault="00D44CF3" w:rsidP="00D44CF3">
            <w:pPr>
              <w:pStyle w:val="NormalWeb"/>
              <w:jc w:val="both"/>
              <w:rPr>
                <w:rFonts w:eastAsia="Calibri"/>
                <w:sz w:val="22"/>
                <w:szCs w:val="22"/>
                <w:lang w:val="bg-BG"/>
              </w:rPr>
            </w:pPr>
            <w:r>
              <w:rPr>
                <w:rFonts w:eastAsia="Calibri"/>
                <w:sz w:val="22"/>
                <w:szCs w:val="22"/>
                <w:lang w:val="bg-BG"/>
              </w:rPr>
              <w:t>-</w:t>
            </w:r>
            <w:r w:rsidRPr="00BD5414">
              <w:rPr>
                <w:rFonts w:eastAsia="Calibri"/>
                <w:sz w:val="22"/>
                <w:szCs w:val="22"/>
                <w:lang w:val="bg-BG"/>
              </w:rPr>
              <w:t>Общината предоставя отворени формуляри за публично обсъждане на проектобюджета, включително възможност за граждански предложения. Протоколите и резултатите от тези обсъждания също се публикуват.</w:t>
            </w:r>
          </w:p>
          <w:p w14:paraId="728BB8C0" w14:textId="77777777" w:rsidR="00D44CF3" w:rsidRDefault="00D44CF3" w:rsidP="00D44CF3">
            <w:pPr>
              <w:pStyle w:val="NormalWeb"/>
              <w:jc w:val="both"/>
              <w:rPr>
                <w:rFonts w:eastAsia="Calibri"/>
                <w:sz w:val="22"/>
                <w:szCs w:val="22"/>
                <w:lang w:val="bg-BG"/>
              </w:rPr>
            </w:pPr>
            <w:r>
              <w:rPr>
                <w:rFonts w:eastAsia="Calibri"/>
                <w:sz w:val="22"/>
                <w:szCs w:val="22"/>
                <w:lang w:val="bg-BG"/>
              </w:rPr>
              <w:t>-</w:t>
            </w:r>
            <w:r w:rsidRPr="00BD5414">
              <w:rPr>
                <w:rFonts w:eastAsia="Calibri"/>
                <w:sz w:val="22"/>
                <w:szCs w:val="22"/>
                <w:lang w:val="bg-BG"/>
              </w:rPr>
              <w:t>При възникване на финансови корекции или забележки от контролни органи, те се обявяват публично и се прилагат коригиращи действия, което гарантира отчетност и коректност при управлението на средства.</w:t>
            </w:r>
          </w:p>
          <w:p w14:paraId="753B9299" w14:textId="77777777" w:rsidR="00D44CF3" w:rsidRPr="00BD5414" w:rsidRDefault="00D44CF3" w:rsidP="00D44CF3">
            <w:pPr>
              <w:pStyle w:val="NormalWeb"/>
              <w:jc w:val="both"/>
              <w:rPr>
                <w:rFonts w:eastAsia="Calibri"/>
                <w:sz w:val="22"/>
                <w:szCs w:val="22"/>
                <w:lang w:val="bg-BG"/>
              </w:rPr>
            </w:pPr>
            <w:r>
              <w:rPr>
                <w:rFonts w:eastAsia="Calibri"/>
                <w:sz w:val="22"/>
                <w:szCs w:val="22"/>
                <w:lang w:val="bg-BG"/>
              </w:rPr>
              <w:t>-</w:t>
            </w:r>
            <w:r w:rsidRPr="00BD5414">
              <w:rPr>
                <w:rFonts w:eastAsia="Calibri"/>
                <w:sz w:val="22"/>
                <w:szCs w:val="22"/>
                <w:lang w:val="bg-BG"/>
              </w:rPr>
              <w:t>Извършваните вътрешни и външни одити допълват системата от гаранции за законосъобразно, целесъобразно и ефективно използване на общинския бюджет.</w:t>
            </w:r>
          </w:p>
          <w:p w14:paraId="0973EEF2" w14:textId="77777777" w:rsidR="00D44CF3" w:rsidRPr="00BD5414" w:rsidRDefault="00D44CF3" w:rsidP="00D44CF3">
            <w:pPr>
              <w:pStyle w:val="NormalWeb"/>
              <w:jc w:val="both"/>
              <w:rPr>
                <w:rFonts w:eastAsia="Calibri"/>
                <w:sz w:val="22"/>
                <w:szCs w:val="22"/>
                <w:lang w:val="bg-BG"/>
              </w:rPr>
            </w:pPr>
            <w:r w:rsidRPr="00BD5414">
              <w:rPr>
                <w:rFonts w:eastAsia="Calibri"/>
                <w:sz w:val="22"/>
                <w:szCs w:val="22"/>
                <w:lang w:val="bg-BG"/>
              </w:rPr>
              <w:t>В обобщение, община Тетевен осигурява открит достъп до информация за управлението на публичните средства, като съчетава законови изисквания, цифрови инструменти и гражданско участие. Това я позиционира като пример за добра практика в сферата на местните финанси.</w:t>
            </w:r>
          </w:p>
        </w:tc>
        <w:tc>
          <w:tcPr>
            <w:tcW w:w="2427" w:type="dxa"/>
            <w:shd w:val="clear" w:color="auto" w:fill="FFFFFF" w:themeFill="background1"/>
            <w:vAlign w:val="center"/>
          </w:tcPr>
          <w:p w14:paraId="3FA27B07" w14:textId="3101DC72" w:rsidR="00D44CF3" w:rsidRPr="00A41E83" w:rsidRDefault="00C5095F" w:rsidP="00C5095F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5095F">
              <w:rPr>
                <w:rFonts w:ascii="Times New Roman" w:eastAsia="Calibri" w:hAnsi="Times New Roman" w:cs="Times New Roman"/>
                <w:bCs/>
                <w:lang w:val="bg-BG"/>
              </w:rPr>
              <w:lastRenderedPageBreak/>
              <w:t>ДА</w:t>
            </w:r>
          </w:p>
        </w:tc>
      </w:tr>
      <w:tr w:rsidR="00D44CF3" w:rsidRPr="00A41E83" w14:paraId="33240B15" w14:textId="77777777" w:rsidTr="00D44CF3">
        <w:tc>
          <w:tcPr>
            <w:tcW w:w="8789" w:type="dxa"/>
            <w:shd w:val="clear" w:color="auto" w:fill="auto"/>
            <w:vAlign w:val="center"/>
          </w:tcPr>
          <w:p w14:paraId="2ECA8C7E" w14:textId="77777777" w:rsidR="00D44CF3" w:rsidRPr="00A41E83" w:rsidRDefault="00D44CF3" w:rsidP="00D44CF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Индикатор 7. Годишният одит включва проверка на получена стойност (като качество и достъпност) срещу изразходвани пари при предоставянето на услуги от общината.</w:t>
            </w:r>
          </w:p>
        </w:tc>
        <w:tc>
          <w:tcPr>
            <w:tcW w:w="3544" w:type="dxa"/>
            <w:shd w:val="clear" w:color="auto" w:fill="FFFFFF" w:themeFill="background1"/>
            <w:vAlign w:val="center"/>
          </w:tcPr>
          <w:p w14:paraId="2B7C8375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D5414">
              <w:rPr>
                <w:rFonts w:ascii="Times New Roman" w:eastAsia="Calibri" w:hAnsi="Times New Roman" w:cs="Times New Roman"/>
                <w:lang w:val="bg-BG"/>
              </w:rPr>
              <w:t>Община Тетевен прилага устойчив подход към управлението на общинската собственост, който включва стратегическо планиране, прозрачно администриране, редовна отчетност и ефективно използване на активите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в интерес на местната общност. </w:t>
            </w:r>
            <w:r w:rsidRPr="00BD5414">
              <w:rPr>
                <w:rFonts w:ascii="Times New Roman" w:eastAsia="Calibri" w:hAnsi="Times New Roman" w:cs="Times New Roman"/>
                <w:lang w:val="bg-BG"/>
              </w:rPr>
              <w:t>По-конкретно:</w:t>
            </w:r>
          </w:p>
          <w:p w14:paraId="62CBF67E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BD5414">
              <w:rPr>
                <w:rFonts w:ascii="Times New Roman" w:eastAsia="Calibri" w:hAnsi="Times New Roman" w:cs="Times New Roman"/>
                <w:lang w:val="bg-BG"/>
              </w:rPr>
              <w:t>Общината поддържа Актуализиран регистър на общинската собственост, който е публично достъпен чрез интернет страницата, съгласно изискванията на ЗОС. В него са включени:</w:t>
            </w:r>
          </w:p>
          <w:p w14:paraId="45BC3B8E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D5414">
              <w:rPr>
                <w:rFonts w:ascii="Times New Roman" w:eastAsia="Calibri" w:hAnsi="Times New Roman" w:cs="Times New Roman"/>
                <w:lang w:val="bg-BG"/>
              </w:rPr>
              <w:t>– имоти – публична и частна общинска собственост</w:t>
            </w:r>
          </w:p>
          <w:p w14:paraId="6145931F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D5414">
              <w:rPr>
                <w:rFonts w:ascii="Times New Roman" w:eastAsia="Calibri" w:hAnsi="Times New Roman" w:cs="Times New Roman"/>
                <w:lang w:val="bg-BG"/>
              </w:rPr>
              <w:t>– движимо и недвижимо имущество</w:t>
            </w:r>
          </w:p>
          <w:p w14:paraId="4529F29D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D5414">
              <w:rPr>
                <w:rFonts w:ascii="Times New Roman" w:eastAsia="Calibri" w:hAnsi="Times New Roman" w:cs="Times New Roman"/>
                <w:lang w:val="bg-BG"/>
              </w:rPr>
              <w:t>– обекти с културно, социално и икономическо значение</w:t>
            </w:r>
          </w:p>
          <w:p w14:paraId="754D4F84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BD5414">
              <w:rPr>
                <w:rFonts w:ascii="Times New Roman" w:eastAsia="Calibri" w:hAnsi="Times New Roman" w:cs="Times New Roman"/>
                <w:lang w:val="bg-BG"/>
              </w:rPr>
              <w:t>Съществува Програма за управление и разпореждане с имоти – общинска собственост, която се приема ежегодно от Общинския съвет. В програмата са посочени:</w:t>
            </w:r>
          </w:p>
          <w:p w14:paraId="31F07D08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D5414">
              <w:rPr>
                <w:rFonts w:ascii="Times New Roman" w:eastAsia="Calibri" w:hAnsi="Times New Roman" w:cs="Times New Roman"/>
                <w:lang w:val="bg-BG"/>
              </w:rPr>
              <w:t>– обектите, подлежащи на отдаване под наем, продажба или предоставяне за ползване</w:t>
            </w:r>
          </w:p>
          <w:p w14:paraId="71F95BF8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D5414">
              <w:rPr>
                <w:rFonts w:ascii="Times New Roman" w:eastAsia="Calibri" w:hAnsi="Times New Roman" w:cs="Times New Roman"/>
                <w:lang w:val="bg-BG"/>
              </w:rPr>
              <w:t>– очаквани приходи</w:t>
            </w:r>
          </w:p>
          <w:p w14:paraId="064A1E8D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D5414">
              <w:rPr>
                <w:rFonts w:ascii="Times New Roman" w:eastAsia="Calibri" w:hAnsi="Times New Roman" w:cs="Times New Roman"/>
                <w:lang w:val="bg-BG"/>
              </w:rPr>
              <w:lastRenderedPageBreak/>
              <w:t>– планирани инвестиции за поддръжка и подобрения</w:t>
            </w:r>
          </w:p>
          <w:p w14:paraId="6482B899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BD5414">
              <w:rPr>
                <w:rFonts w:ascii="Times New Roman" w:eastAsia="Calibri" w:hAnsi="Times New Roman" w:cs="Times New Roman"/>
                <w:lang w:val="bg-BG"/>
              </w:rPr>
              <w:t>Управлението на активите се осъществява в съответствие с вътрешни правила, които включват процедури за:</w:t>
            </w:r>
          </w:p>
          <w:p w14:paraId="05F0BA53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D5414">
              <w:rPr>
                <w:rFonts w:ascii="Times New Roman" w:eastAsia="Calibri" w:hAnsi="Times New Roman" w:cs="Times New Roman"/>
                <w:lang w:val="bg-BG"/>
              </w:rPr>
              <w:t>– оценка на активи</w:t>
            </w:r>
          </w:p>
          <w:p w14:paraId="7F28B57A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D5414">
              <w:rPr>
                <w:rFonts w:ascii="Times New Roman" w:eastAsia="Calibri" w:hAnsi="Times New Roman" w:cs="Times New Roman"/>
                <w:lang w:val="bg-BG"/>
              </w:rPr>
              <w:t>– изготвяне на договори и контрол върху изпълнението им</w:t>
            </w:r>
          </w:p>
          <w:p w14:paraId="57C6F36B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D5414">
              <w:rPr>
                <w:rFonts w:ascii="Times New Roman" w:eastAsia="Calibri" w:hAnsi="Times New Roman" w:cs="Times New Roman"/>
                <w:lang w:val="bg-BG"/>
              </w:rPr>
              <w:t>– периодични проверки и инвентаризации</w:t>
            </w:r>
          </w:p>
          <w:p w14:paraId="06753182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BD5414">
              <w:rPr>
                <w:rFonts w:ascii="Times New Roman" w:eastAsia="Calibri" w:hAnsi="Times New Roman" w:cs="Times New Roman"/>
                <w:lang w:val="bg-BG"/>
              </w:rPr>
              <w:t>В рамките на инвестиционната политика на общината се предвиждат разходи за реновиране, поддръжка и оползотворяване на активи, включително с цел привличане на външни инвеститори или създаване на публично-частни партньорства.</w:t>
            </w:r>
          </w:p>
          <w:p w14:paraId="58F8EF57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BD5414">
              <w:rPr>
                <w:rFonts w:ascii="Times New Roman" w:eastAsia="Calibri" w:hAnsi="Times New Roman" w:cs="Times New Roman"/>
                <w:lang w:val="bg-BG"/>
              </w:rPr>
              <w:t>Данни за състоянието и използването на активите се включват в годишните финансови отчети и се обсъждат в ОбС, като по този начин се осигурява отчетност и възможност за корективни действия.</w:t>
            </w:r>
          </w:p>
          <w:p w14:paraId="6102AF66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BD5414">
              <w:rPr>
                <w:rFonts w:ascii="Times New Roman" w:eastAsia="Calibri" w:hAnsi="Times New Roman" w:cs="Times New Roman"/>
                <w:lang w:val="bg-BG"/>
              </w:rPr>
              <w:t xml:space="preserve">Общината прилага принципа на икономичност и дългосрочна стойност, като търси начини за увеличаване на приходите от собствеността, без да </w:t>
            </w:r>
            <w:r w:rsidRPr="00BD5414">
              <w:rPr>
                <w:rFonts w:ascii="Times New Roman" w:eastAsia="Calibri" w:hAnsi="Times New Roman" w:cs="Times New Roman"/>
                <w:lang w:val="bg-BG"/>
              </w:rPr>
              <w:lastRenderedPageBreak/>
              <w:t>компрометира обществения интерес и устойчивото развитие.</w:t>
            </w:r>
          </w:p>
          <w:p w14:paraId="3F0FD13E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5CDB14A8" w14:textId="77777777" w:rsidR="00D44CF3" w:rsidRPr="008573D0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D5414">
              <w:rPr>
                <w:rFonts w:ascii="Times New Roman" w:eastAsia="Calibri" w:hAnsi="Times New Roman" w:cs="Times New Roman"/>
                <w:lang w:val="bg-BG"/>
              </w:rPr>
              <w:t>Следователно, управлението на активите в община Тетевен е регламентирано, прозрачно и стратегически насочено, в съответствие с принципите на добро финансово и административно управление.</w:t>
            </w:r>
          </w:p>
        </w:tc>
        <w:tc>
          <w:tcPr>
            <w:tcW w:w="2427" w:type="dxa"/>
            <w:shd w:val="clear" w:color="auto" w:fill="FFFFFF" w:themeFill="background1"/>
            <w:vAlign w:val="center"/>
          </w:tcPr>
          <w:p w14:paraId="5BB468C4" w14:textId="61BFDBE6" w:rsidR="00D44CF3" w:rsidRPr="00A41E83" w:rsidRDefault="00C5095F" w:rsidP="00C5095F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5095F">
              <w:rPr>
                <w:rFonts w:ascii="Times New Roman" w:eastAsia="Calibri" w:hAnsi="Times New Roman" w:cs="Times New Roman"/>
                <w:bCs/>
                <w:lang w:val="bg-BG"/>
              </w:rPr>
              <w:lastRenderedPageBreak/>
              <w:t>ДА</w:t>
            </w:r>
          </w:p>
        </w:tc>
      </w:tr>
      <w:tr w:rsidR="00D44CF3" w:rsidRPr="00A41E83" w14:paraId="48EEEADC" w14:textId="77777777" w:rsidTr="00D44CF3">
        <w:tc>
          <w:tcPr>
            <w:tcW w:w="14760" w:type="dxa"/>
            <w:gridSpan w:val="3"/>
            <w:shd w:val="clear" w:color="auto" w:fill="FBE4D5" w:themeFill="accent2" w:themeFillTint="33"/>
            <w:vAlign w:val="center"/>
          </w:tcPr>
          <w:p w14:paraId="08CA0358" w14:textId="77777777" w:rsidR="00D44CF3" w:rsidRPr="00A41E83" w:rsidRDefault="00D44CF3" w:rsidP="00D44CF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  <w:lastRenderedPageBreak/>
              <w:t>ДЕЙНОСТ 3: Подготвят се многогодишни бюджетни планове с широко обществено обсъждане.</w:t>
            </w:r>
          </w:p>
        </w:tc>
      </w:tr>
      <w:tr w:rsidR="00D44CF3" w:rsidRPr="00A41E83" w14:paraId="52E4BC98" w14:textId="77777777" w:rsidTr="00D44CF3">
        <w:tc>
          <w:tcPr>
            <w:tcW w:w="8789" w:type="dxa"/>
            <w:shd w:val="clear" w:color="auto" w:fill="auto"/>
            <w:vAlign w:val="center"/>
          </w:tcPr>
          <w:p w14:paraId="10B4D3FD" w14:textId="77777777" w:rsidR="00D44CF3" w:rsidRPr="00A41E83" w:rsidRDefault="00D44CF3" w:rsidP="00D44CF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Индикатор 8. Годишни бюджети и многогодишни прогнози се приемат преди началото на съответния период. Бюджетите трябва да очертават главните разчети по приходоизточници и тяхното разпределение и да бъдат активно консултирани с всички заинтересовани страни.</w:t>
            </w:r>
          </w:p>
        </w:tc>
        <w:tc>
          <w:tcPr>
            <w:tcW w:w="3544" w:type="dxa"/>
            <w:shd w:val="clear" w:color="auto" w:fill="FFFFFF" w:themeFill="background1"/>
            <w:vAlign w:val="center"/>
          </w:tcPr>
          <w:p w14:paraId="04355121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D5414">
              <w:rPr>
                <w:rFonts w:ascii="Times New Roman" w:eastAsia="Calibri" w:hAnsi="Times New Roman" w:cs="Times New Roman"/>
                <w:lang w:val="bg-BG"/>
              </w:rPr>
              <w:t>Община Тетевен прилага ефективен и прозрачен процес по възлагане на обществени поръчки, основан на нормативната уредба и добри практики за конкурентност, достъп</w:t>
            </w:r>
            <w:r>
              <w:rPr>
                <w:rFonts w:ascii="Times New Roman" w:eastAsia="Calibri" w:hAnsi="Times New Roman" w:cs="Times New Roman"/>
                <w:lang w:val="bg-BG"/>
              </w:rPr>
              <w:t>ност и антикорупционен контрол. О</w:t>
            </w:r>
            <w:r w:rsidRPr="00BD5414">
              <w:rPr>
                <w:rFonts w:ascii="Times New Roman" w:eastAsia="Calibri" w:hAnsi="Times New Roman" w:cs="Times New Roman"/>
                <w:lang w:val="bg-BG"/>
              </w:rPr>
              <w:t>бщината е институционализирала ясни критерии и процедури, които се прилагат последователно при планиране и възлагане на поръчки.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BD5414">
              <w:rPr>
                <w:rFonts w:ascii="Times New Roman" w:eastAsia="Calibri" w:hAnsi="Times New Roman" w:cs="Times New Roman"/>
                <w:lang w:val="bg-BG"/>
              </w:rPr>
              <w:t>Наблюдаваните практики включват:</w:t>
            </w:r>
          </w:p>
          <w:p w14:paraId="0C7605A8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=</w:t>
            </w:r>
            <w:r w:rsidRPr="00BD5414">
              <w:rPr>
                <w:rFonts w:ascii="Times New Roman" w:eastAsia="Calibri" w:hAnsi="Times New Roman" w:cs="Times New Roman"/>
                <w:lang w:val="bg-BG"/>
              </w:rPr>
              <w:t>Общината има утвърдена вътрешна методика и график за планиране на обществените поръчки, като:</w:t>
            </w:r>
          </w:p>
          <w:p w14:paraId="26C3A705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D5414">
              <w:rPr>
                <w:rFonts w:ascii="Times New Roman" w:eastAsia="Calibri" w:hAnsi="Times New Roman" w:cs="Times New Roman"/>
                <w:lang w:val="bg-BG"/>
              </w:rPr>
              <w:t>– се публикува Годишен план за възлагане на обществени поръчки</w:t>
            </w:r>
          </w:p>
          <w:p w14:paraId="3AEB2C01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D5414">
              <w:rPr>
                <w:rFonts w:ascii="Times New Roman" w:eastAsia="Calibri" w:hAnsi="Times New Roman" w:cs="Times New Roman"/>
                <w:lang w:val="bg-BG"/>
              </w:rPr>
              <w:lastRenderedPageBreak/>
              <w:t>– всяка поръчка е придружена с техническа спецификация, прогнозна стойност и обосновка</w:t>
            </w:r>
          </w:p>
          <w:p w14:paraId="6B03FD40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BD5414">
              <w:rPr>
                <w:rFonts w:ascii="Times New Roman" w:eastAsia="Calibri" w:hAnsi="Times New Roman" w:cs="Times New Roman"/>
                <w:lang w:val="bg-BG"/>
              </w:rPr>
              <w:t>В процеса на възлагане се използват предварително дефинирани критерии за подбор и оценка, съгласно ЗОП. Това включва:</w:t>
            </w:r>
          </w:p>
          <w:p w14:paraId="131766C1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D5414">
              <w:rPr>
                <w:rFonts w:ascii="Times New Roman" w:eastAsia="Calibri" w:hAnsi="Times New Roman" w:cs="Times New Roman"/>
                <w:lang w:val="bg-BG"/>
              </w:rPr>
              <w:t>– икономически най-изгодна оферта</w:t>
            </w:r>
          </w:p>
          <w:p w14:paraId="03CDC02D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D5414">
              <w:rPr>
                <w:rFonts w:ascii="Times New Roman" w:eastAsia="Calibri" w:hAnsi="Times New Roman" w:cs="Times New Roman"/>
                <w:lang w:val="bg-BG"/>
              </w:rPr>
              <w:t>– минимални изисквания за технически капацитет</w:t>
            </w:r>
          </w:p>
          <w:p w14:paraId="07522B75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D5414">
              <w:rPr>
                <w:rFonts w:ascii="Times New Roman" w:eastAsia="Calibri" w:hAnsi="Times New Roman" w:cs="Times New Roman"/>
                <w:lang w:val="bg-BG"/>
              </w:rPr>
              <w:t>– прозрачни критерии за оценка на качеството и цената</w:t>
            </w:r>
          </w:p>
          <w:p w14:paraId="7659E850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BD5414">
              <w:rPr>
                <w:rFonts w:ascii="Times New Roman" w:eastAsia="Calibri" w:hAnsi="Times New Roman" w:cs="Times New Roman"/>
                <w:lang w:val="bg-BG"/>
              </w:rPr>
              <w:t>Общината използва Централизираната платформа (ЦАИС ЕОП) за провеждане на всички процедури, като документацията и резултатите са публично достъпни.</w:t>
            </w:r>
          </w:p>
          <w:p w14:paraId="723249D5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BD5414">
              <w:rPr>
                <w:rFonts w:ascii="Times New Roman" w:eastAsia="Calibri" w:hAnsi="Times New Roman" w:cs="Times New Roman"/>
                <w:lang w:val="bg-BG"/>
              </w:rPr>
              <w:t>Провежда се анализ на процедурите и резултатите, а в случай на възражения се спазват процедурите за обжалване пред КЗК и ВАС.</w:t>
            </w:r>
          </w:p>
          <w:p w14:paraId="0E476B7D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BD5414">
              <w:rPr>
                <w:rFonts w:ascii="Times New Roman" w:eastAsia="Calibri" w:hAnsi="Times New Roman" w:cs="Times New Roman"/>
                <w:lang w:val="bg-BG"/>
              </w:rPr>
              <w:t>Вътрешен одит и звеното по обществени поръчки следят за:</w:t>
            </w:r>
          </w:p>
          <w:p w14:paraId="64F35EAB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D5414">
              <w:rPr>
                <w:rFonts w:ascii="Times New Roman" w:eastAsia="Calibri" w:hAnsi="Times New Roman" w:cs="Times New Roman"/>
                <w:lang w:val="bg-BG"/>
              </w:rPr>
              <w:t>– спазване на срокове и обхват на процедурите</w:t>
            </w:r>
          </w:p>
          <w:p w14:paraId="6783B22A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D5414">
              <w:rPr>
                <w:rFonts w:ascii="Times New Roman" w:eastAsia="Calibri" w:hAnsi="Times New Roman" w:cs="Times New Roman"/>
                <w:lang w:val="bg-BG"/>
              </w:rPr>
              <w:t>– съответствие между обявените и изпълнените условия</w:t>
            </w:r>
          </w:p>
          <w:p w14:paraId="4256F29D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D5414">
              <w:rPr>
                <w:rFonts w:ascii="Times New Roman" w:eastAsia="Calibri" w:hAnsi="Times New Roman" w:cs="Times New Roman"/>
                <w:lang w:val="bg-BG"/>
              </w:rPr>
              <w:lastRenderedPageBreak/>
              <w:t>– наличие на конфликт на интереси или рискове от непрозрачност</w:t>
            </w:r>
          </w:p>
          <w:p w14:paraId="1CA64675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BD5414">
              <w:rPr>
                <w:rFonts w:ascii="Times New Roman" w:eastAsia="Calibri" w:hAnsi="Times New Roman" w:cs="Times New Roman"/>
                <w:lang w:val="bg-BG"/>
              </w:rPr>
              <w:t>На сайта на общината има обособена секция с:</w:t>
            </w:r>
          </w:p>
          <w:p w14:paraId="31E9ACAE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D5414">
              <w:rPr>
                <w:rFonts w:ascii="Times New Roman" w:eastAsia="Calibri" w:hAnsi="Times New Roman" w:cs="Times New Roman"/>
                <w:lang w:val="bg-BG"/>
              </w:rPr>
              <w:t>– актуални обществени поръчки</w:t>
            </w:r>
          </w:p>
          <w:p w14:paraId="6C924F33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D5414">
              <w:rPr>
                <w:rFonts w:ascii="Times New Roman" w:eastAsia="Calibri" w:hAnsi="Times New Roman" w:cs="Times New Roman"/>
                <w:lang w:val="bg-BG"/>
              </w:rPr>
              <w:t>– архив на приключени процедури</w:t>
            </w:r>
          </w:p>
          <w:p w14:paraId="43F53603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D5414">
              <w:rPr>
                <w:rFonts w:ascii="Times New Roman" w:eastAsia="Calibri" w:hAnsi="Times New Roman" w:cs="Times New Roman"/>
                <w:lang w:val="bg-BG"/>
              </w:rPr>
              <w:t>– договори с изпълнители и стойности</w:t>
            </w:r>
          </w:p>
          <w:p w14:paraId="3125ECE1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16FD3AC6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D5414">
              <w:rPr>
                <w:rFonts w:ascii="Times New Roman" w:eastAsia="Calibri" w:hAnsi="Times New Roman" w:cs="Times New Roman"/>
                <w:lang w:val="bg-BG"/>
              </w:rPr>
              <w:t>Тези факти потвърждават, че община Тетевен прилага ясни, публични и контролирани критерии за възлагане на обществени поръчки, което съответства на принципите на ефективност, равнопоставеност и отчетност.</w:t>
            </w:r>
          </w:p>
          <w:p w14:paraId="0BC478E7" w14:textId="77777777" w:rsidR="00D44CF3" w:rsidRPr="008573D0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</w:tc>
        <w:tc>
          <w:tcPr>
            <w:tcW w:w="2427" w:type="dxa"/>
            <w:shd w:val="clear" w:color="auto" w:fill="FFFFFF" w:themeFill="background1"/>
            <w:vAlign w:val="center"/>
          </w:tcPr>
          <w:p w14:paraId="0B5EE786" w14:textId="395A0878" w:rsidR="00D44CF3" w:rsidRPr="00A41E83" w:rsidRDefault="00F20ADA" w:rsidP="00F20ADA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5095F">
              <w:rPr>
                <w:rFonts w:ascii="Times New Roman" w:eastAsia="Calibri" w:hAnsi="Times New Roman" w:cs="Times New Roman"/>
                <w:bCs/>
                <w:lang w:val="bg-BG"/>
              </w:rPr>
              <w:lastRenderedPageBreak/>
              <w:t>ДА</w:t>
            </w:r>
          </w:p>
        </w:tc>
      </w:tr>
      <w:tr w:rsidR="00D44CF3" w:rsidRPr="00A41E83" w14:paraId="5C077E04" w14:textId="77777777" w:rsidTr="00D44CF3">
        <w:tc>
          <w:tcPr>
            <w:tcW w:w="8789" w:type="dxa"/>
            <w:shd w:val="clear" w:color="auto" w:fill="auto"/>
            <w:vAlign w:val="center"/>
          </w:tcPr>
          <w:p w14:paraId="2C2406E9" w14:textId="77777777" w:rsidR="00D44CF3" w:rsidRPr="00A41E83" w:rsidRDefault="00D44CF3" w:rsidP="00D44CF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Индикатор 9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A41E83">
              <w:rPr>
                <w:rFonts w:ascii="Times New Roman" w:eastAsia="Times New Roman" w:hAnsi="Times New Roman" w:cs="Times New Roman"/>
                <w:lang w:val="bg-BG"/>
              </w:rPr>
              <w:t xml:space="preserve"> </w:t>
            </w: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Общината публично оповестява и предоставя информация за основните показатели на бюджета, одобрения бюджет, годишния отчет за изпълнението му и данъчните ставки, както и развитието на видовете услуги и подобряване на тяхното качество.</w:t>
            </w:r>
          </w:p>
        </w:tc>
        <w:tc>
          <w:tcPr>
            <w:tcW w:w="3544" w:type="dxa"/>
            <w:shd w:val="clear" w:color="auto" w:fill="FFFFFF" w:themeFill="background1"/>
            <w:vAlign w:val="center"/>
          </w:tcPr>
          <w:p w14:paraId="7D29DD80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D5414">
              <w:rPr>
                <w:rFonts w:ascii="Times New Roman" w:eastAsia="Calibri" w:hAnsi="Times New Roman" w:cs="Times New Roman"/>
                <w:lang w:val="bg-BG"/>
              </w:rPr>
              <w:t>Община Тетевен осигурява пълен и свободен достъп до публичните документи, свързани с обществените поръчки и решенията по тях, като това се осъществява чрез цифрови канали, регис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три и платформи за прозрачност. </w:t>
            </w:r>
            <w:r w:rsidRPr="00BD5414">
              <w:rPr>
                <w:rFonts w:ascii="Times New Roman" w:eastAsia="Calibri" w:hAnsi="Times New Roman" w:cs="Times New Roman"/>
                <w:lang w:val="bg-BG"/>
              </w:rPr>
              <w:t>Наблюдават се следните добри практики:</w:t>
            </w:r>
          </w:p>
          <w:p w14:paraId="4A2374EE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BD5414">
              <w:rPr>
                <w:rFonts w:ascii="Times New Roman" w:eastAsia="Calibri" w:hAnsi="Times New Roman" w:cs="Times New Roman"/>
                <w:lang w:val="bg-BG"/>
              </w:rPr>
              <w:t xml:space="preserve">Всички процедури по обществени поръчки се публикуват в ЦАИС ЕОП (Централизирана автоматизирана информационна </w:t>
            </w:r>
            <w:r w:rsidRPr="00BD5414">
              <w:rPr>
                <w:rFonts w:ascii="Times New Roman" w:eastAsia="Calibri" w:hAnsi="Times New Roman" w:cs="Times New Roman"/>
                <w:lang w:val="bg-BG"/>
              </w:rPr>
              <w:lastRenderedPageBreak/>
              <w:t>система за електронни поръчки), както и на официалния сайт на общината. Това включва:</w:t>
            </w:r>
          </w:p>
          <w:p w14:paraId="4D49AAFF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D5414">
              <w:rPr>
                <w:rFonts w:ascii="Times New Roman" w:eastAsia="Calibri" w:hAnsi="Times New Roman" w:cs="Times New Roman"/>
                <w:lang w:val="bg-BG"/>
              </w:rPr>
              <w:t>– обявления за откриване на процедури</w:t>
            </w:r>
          </w:p>
          <w:p w14:paraId="1E31DEFE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D5414">
              <w:rPr>
                <w:rFonts w:ascii="Times New Roman" w:eastAsia="Calibri" w:hAnsi="Times New Roman" w:cs="Times New Roman"/>
                <w:lang w:val="bg-BG"/>
              </w:rPr>
              <w:t>– тръжни документи</w:t>
            </w:r>
          </w:p>
          <w:p w14:paraId="7A446E64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D5414">
              <w:rPr>
                <w:rFonts w:ascii="Times New Roman" w:eastAsia="Calibri" w:hAnsi="Times New Roman" w:cs="Times New Roman"/>
                <w:lang w:val="bg-BG"/>
              </w:rPr>
              <w:t>– разяснения, когато има такива</w:t>
            </w:r>
          </w:p>
          <w:p w14:paraId="2E4BF468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D5414">
              <w:rPr>
                <w:rFonts w:ascii="Times New Roman" w:eastAsia="Calibri" w:hAnsi="Times New Roman" w:cs="Times New Roman"/>
                <w:lang w:val="bg-BG"/>
              </w:rPr>
              <w:t>– протоколи от работата на комисии</w:t>
            </w:r>
          </w:p>
          <w:p w14:paraId="32EBF9D9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D5414">
              <w:rPr>
                <w:rFonts w:ascii="Times New Roman" w:eastAsia="Calibri" w:hAnsi="Times New Roman" w:cs="Times New Roman"/>
                <w:lang w:val="bg-BG"/>
              </w:rPr>
              <w:t>– решения за класиране и възлагане</w:t>
            </w:r>
          </w:p>
          <w:p w14:paraId="21DCB8EC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D5414">
              <w:rPr>
                <w:rFonts w:ascii="Times New Roman" w:eastAsia="Calibri" w:hAnsi="Times New Roman" w:cs="Times New Roman"/>
                <w:lang w:val="bg-BG"/>
              </w:rPr>
              <w:t>– сключени договори</w:t>
            </w:r>
          </w:p>
          <w:p w14:paraId="2BAF0D54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BD5414">
              <w:rPr>
                <w:rFonts w:ascii="Times New Roman" w:eastAsia="Calibri" w:hAnsi="Times New Roman" w:cs="Times New Roman"/>
                <w:lang w:val="bg-BG"/>
              </w:rPr>
              <w:t>Общината поддържа публичен регистър на сключените договори, който съдържа:</w:t>
            </w:r>
          </w:p>
          <w:p w14:paraId="759F0FF3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D5414">
              <w:rPr>
                <w:rFonts w:ascii="Times New Roman" w:eastAsia="Calibri" w:hAnsi="Times New Roman" w:cs="Times New Roman"/>
                <w:lang w:val="bg-BG"/>
              </w:rPr>
              <w:t>– наименование на процедурата</w:t>
            </w:r>
          </w:p>
          <w:p w14:paraId="7233E592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D5414">
              <w:rPr>
                <w:rFonts w:ascii="Times New Roman" w:eastAsia="Calibri" w:hAnsi="Times New Roman" w:cs="Times New Roman"/>
                <w:lang w:val="bg-BG"/>
              </w:rPr>
              <w:t>– стойност</w:t>
            </w:r>
          </w:p>
          <w:p w14:paraId="4BFAFB76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D5414">
              <w:rPr>
                <w:rFonts w:ascii="Times New Roman" w:eastAsia="Calibri" w:hAnsi="Times New Roman" w:cs="Times New Roman"/>
                <w:lang w:val="bg-BG"/>
              </w:rPr>
              <w:t>– изпълнител</w:t>
            </w:r>
          </w:p>
          <w:p w14:paraId="768DCD95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D5414">
              <w:rPr>
                <w:rFonts w:ascii="Times New Roman" w:eastAsia="Calibri" w:hAnsi="Times New Roman" w:cs="Times New Roman"/>
                <w:lang w:val="bg-BG"/>
              </w:rPr>
              <w:t>– срок на изпълнение</w:t>
            </w:r>
          </w:p>
          <w:p w14:paraId="3914C6AA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BD5414">
              <w:rPr>
                <w:rFonts w:ascii="Times New Roman" w:eastAsia="Calibri" w:hAnsi="Times New Roman" w:cs="Times New Roman"/>
                <w:lang w:val="bg-BG"/>
              </w:rPr>
              <w:t>Обществените поръчки с европейско финансиране се управляват с допълнителни изисквания за публичност, включително публикации в ИСУН и отчетност пред управляващите органи.</w:t>
            </w:r>
          </w:p>
          <w:p w14:paraId="6D163335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BD5414">
              <w:rPr>
                <w:rFonts w:ascii="Times New Roman" w:eastAsia="Calibri" w:hAnsi="Times New Roman" w:cs="Times New Roman"/>
                <w:lang w:val="bg-BG"/>
              </w:rPr>
              <w:t>Информацията е лесно достъпна, структурирана и редовно актуализирана – което улеснява не само контролните органи, но и граждани, доставчици и неправителствени организации.</w:t>
            </w:r>
          </w:p>
          <w:p w14:paraId="07B77517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-</w:t>
            </w:r>
            <w:r w:rsidRPr="00BD5414">
              <w:rPr>
                <w:rFonts w:ascii="Times New Roman" w:eastAsia="Calibri" w:hAnsi="Times New Roman" w:cs="Times New Roman"/>
                <w:lang w:val="bg-BG"/>
              </w:rPr>
              <w:t>Общината осигурява възможности за участие в обсъждане и контрол от страна на Общинския съвет, както и прозрачност при възлагане на договори чрез покани и заповеди, достъпни в електронен вид.</w:t>
            </w:r>
          </w:p>
          <w:p w14:paraId="24139826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1EC0A467" w14:textId="77777777" w:rsidR="00D44CF3" w:rsidRPr="008573D0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D5414">
              <w:rPr>
                <w:rFonts w:ascii="Times New Roman" w:eastAsia="Calibri" w:hAnsi="Times New Roman" w:cs="Times New Roman"/>
                <w:lang w:val="bg-BG"/>
              </w:rPr>
              <w:t>В обобщение, практиките на община Тетевен показват високо ниво на прозрачност, отчетност и равен достъп до информация, свързана с обществените поръчки – ключов елемент от антикорупционните стандарти и доброто управление.</w:t>
            </w:r>
          </w:p>
        </w:tc>
        <w:tc>
          <w:tcPr>
            <w:tcW w:w="2427" w:type="dxa"/>
            <w:shd w:val="clear" w:color="auto" w:fill="FFFFFF" w:themeFill="background1"/>
            <w:vAlign w:val="center"/>
          </w:tcPr>
          <w:p w14:paraId="5F6FB88A" w14:textId="7F67A9ED" w:rsidR="00D44CF3" w:rsidRPr="00A41E83" w:rsidRDefault="00F20ADA" w:rsidP="00F20ADA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5095F">
              <w:rPr>
                <w:rFonts w:ascii="Times New Roman" w:eastAsia="Calibri" w:hAnsi="Times New Roman" w:cs="Times New Roman"/>
                <w:bCs/>
                <w:lang w:val="bg-BG"/>
              </w:rPr>
              <w:lastRenderedPageBreak/>
              <w:t>ДА</w:t>
            </w:r>
          </w:p>
        </w:tc>
      </w:tr>
      <w:tr w:rsidR="00D44CF3" w:rsidRPr="00A41E83" w14:paraId="3D8C9A89" w14:textId="77777777" w:rsidTr="00D44CF3">
        <w:tc>
          <w:tcPr>
            <w:tcW w:w="14760" w:type="dxa"/>
            <w:gridSpan w:val="3"/>
            <w:shd w:val="clear" w:color="auto" w:fill="FBE4D5" w:themeFill="accent2" w:themeFillTint="33"/>
            <w:vAlign w:val="center"/>
          </w:tcPr>
          <w:p w14:paraId="267A5145" w14:textId="77777777" w:rsidR="00D44CF3" w:rsidRPr="00A41E83" w:rsidRDefault="00D44CF3" w:rsidP="00D44CF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  <w:lastRenderedPageBreak/>
              <w:t>ДЕЙНОСТ 4: Рисковете са правилно преценявани и управлявани, включително чрез публикуване на консолидирани отчети и, в случай на публично-частни партньорства, чрез реалистично разпределяне на рисковете.</w:t>
            </w:r>
          </w:p>
        </w:tc>
      </w:tr>
      <w:tr w:rsidR="00D44CF3" w:rsidRPr="00A41E83" w14:paraId="3FA7909E" w14:textId="77777777" w:rsidTr="00D44CF3">
        <w:tc>
          <w:tcPr>
            <w:tcW w:w="8789" w:type="dxa"/>
            <w:shd w:val="clear" w:color="auto" w:fill="auto"/>
            <w:vAlign w:val="center"/>
          </w:tcPr>
          <w:p w14:paraId="561144C6" w14:textId="77777777" w:rsidR="00D44CF3" w:rsidRPr="00A41E83" w:rsidRDefault="00D44CF3" w:rsidP="00D44CF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Индикатор 10. Общината установява и управлява своите финансови и свързани с предоставянето на услуги рискове чрез една от следните дейности:</w:t>
            </w:r>
          </w:p>
          <w:p w14:paraId="6F8832F3" w14:textId="77777777" w:rsidR="00D44CF3" w:rsidRPr="00A41E83" w:rsidRDefault="00D44CF3" w:rsidP="00D44CF3">
            <w:pPr>
              <w:tabs>
                <w:tab w:val="left" w:pos="172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•</w:t>
            </w: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ab/>
              <w:t>поемане и управление на рисковете;</w:t>
            </w:r>
          </w:p>
          <w:p w14:paraId="57177801" w14:textId="77777777" w:rsidR="00D44CF3" w:rsidRPr="00A41E83" w:rsidRDefault="00D44CF3" w:rsidP="00D44CF3">
            <w:pPr>
              <w:tabs>
                <w:tab w:val="left" w:pos="172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•</w:t>
            </w: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ab/>
              <w:t>избягване на рисковете (например, чрез прехвърляне на дейността на друго юридическо лице);</w:t>
            </w:r>
          </w:p>
          <w:p w14:paraId="3A63B593" w14:textId="77777777" w:rsidR="00D44CF3" w:rsidRPr="00A41E83" w:rsidRDefault="00D44CF3" w:rsidP="00D44CF3">
            <w:pPr>
              <w:tabs>
                <w:tab w:val="left" w:pos="172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•</w:t>
            </w: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ab/>
              <w:t>прехвърляне на рисковете (например, чрез публично-частни партньорства или получаването на търговски застраховки);  или</w:t>
            </w:r>
          </w:p>
          <w:p w14:paraId="1E39A1DE" w14:textId="77777777" w:rsidR="00D44CF3" w:rsidRPr="00A41E83" w:rsidRDefault="00D44CF3" w:rsidP="00D44CF3">
            <w:pPr>
              <w:tabs>
                <w:tab w:val="left" w:pos="172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•</w:t>
            </w: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ab/>
              <w:t>споделяне на рисковете (например, чрез работа в сътрудничество с друга община).</w:t>
            </w:r>
          </w:p>
        </w:tc>
        <w:tc>
          <w:tcPr>
            <w:tcW w:w="3544" w:type="dxa"/>
            <w:shd w:val="clear" w:color="auto" w:fill="FFFFFF" w:themeFill="background1"/>
            <w:vAlign w:val="center"/>
          </w:tcPr>
          <w:p w14:paraId="240396D8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D5414">
              <w:rPr>
                <w:rFonts w:ascii="Times New Roman" w:eastAsia="Calibri" w:hAnsi="Times New Roman" w:cs="Times New Roman"/>
                <w:lang w:val="bg-BG"/>
              </w:rPr>
              <w:t xml:space="preserve">Община Тетевен прилага цялостен подход за управление на финансовите и свързаните с предоставянето на услуги рискове, като съчетава различни стратегии: от директно управление до прехвърляне или споделяне на риска, в зависимост от характера на дейността и съпътстващите ѝ предизвикателства. </w:t>
            </w:r>
          </w:p>
          <w:p w14:paraId="38BEA41A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D5414">
              <w:rPr>
                <w:rFonts w:ascii="Times New Roman" w:eastAsia="Calibri" w:hAnsi="Times New Roman" w:cs="Times New Roman"/>
                <w:lang w:val="bg-BG"/>
              </w:rPr>
              <w:t>Наблюдават се следните ключови механизми:</w:t>
            </w:r>
          </w:p>
          <w:p w14:paraId="04AA45CD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-</w:t>
            </w:r>
            <w:r w:rsidRPr="00BD5414">
              <w:rPr>
                <w:rFonts w:ascii="Times New Roman" w:eastAsia="Calibri" w:hAnsi="Times New Roman" w:cs="Times New Roman"/>
                <w:lang w:val="bg-BG"/>
              </w:rPr>
              <w:t>Поемане и управление на риска: Общината е изградила вътрешна система за финансово управление и контрол, чрез която идентифицира, оценява и управлява рисковете, свързани с бюджетното изпълнение, изпълнението на проекти, управлението на собственост и предоставянето на публични услуги.</w:t>
            </w:r>
          </w:p>
          <w:p w14:paraId="13448079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BD5414">
              <w:rPr>
                <w:rFonts w:ascii="Times New Roman" w:eastAsia="Calibri" w:hAnsi="Times New Roman" w:cs="Times New Roman"/>
                <w:lang w:val="bg-BG"/>
              </w:rPr>
              <w:t>Избягване на риск: В определени случаи (напр. комунални услуги, услуги по сметосъбиране и сметоизвозване), общината е избрала възлагане на дейности чрез външни изпълнители или специализирани юридически лица, за да намали експозицията към оперативен и технологичен риск.</w:t>
            </w:r>
          </w:p>
          <w:p w14:paraId="460161DF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BD5414">
              <w:rPr>
                <w:rFonts w:ascii="Times New Roman" w:eastAsia="Calibri" w:hAnsi="Times New Roman" w:cs="Times New Roman"/>
                <w:lang w:val="bg-BG"/>
              </w:rPr>
              <w:t>Прехвърляне на риск: При инфраструктурни проекти и обекти с висока стойност, общината сключва застраховки за имущество, оборудване и гражданска отговорност, в съответствие със законовите изисквания. В някои случаи се използват и договори с клаузи за ограничаване на отговорността, включително чрез подизпълнители.</w:t>
            </w:r>
          </w:p>
          <w:p w14:paraId="3E147F87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-</w:t>
            </w:r>
            <w:r w:rsidRPr="00BD5414">
              <w:rPr>
                <w:rFonts w:ascii="Times New Roman" w:eastAsia="Calibri" w:hAnsi="Times New Roman" w:cs="Times New Roman"/>
                <w:lang w:val="bg-BG"/>
              </w:rPr>
              <w:t>Споделяне на риск: Общината участва в съвместни инициативи с други общини, НПО и частния сектор, включително чрез междусекторни партньорства и програми, финансирани по европейски проекти, където се разпределят отговорностите и рисковете (напр. в областта на туризма, културата и социалните услуги).</w:t>
            </w:r>
          </w:p>
          <w:p w14:paraId="336D3DE1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BD5414">
              <w:rPr>
                <w:rFonts w:ascii="Times New Roman" w:eastAsia="Calibri" w:hAnsi="Times New Roman" w:cs="Times New Roman"/>
                <w:lang w:val="bg-BG"/>
              </w:rPr>
              <w:t>На оперативно ниво се извършва регулярно оценяване на риска и се вземат управленски решения, базирани на предварителен анализ (напр. преди започване на нова инвестиция, услуга или договор).</w:t>
            </w:r>
          </w:p>
          <w:p w14:paraId="00EBA06E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6A765E92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D5414">
              <w:rPr>
                <w:rFonts w:ascii="Times New Roman" w:eastAsia="Calibri" w:hAnsi="Times New Roman" w:cs="Times New Roman"/>
                <w:lang w:val="bg-BG"/>
              </w:rPr>
              <w:t>Така община Тетевен демонстрира зрялост и гъвкавост в подхода към управление на риска, като прилага едновременно превенция, трансфер и партньорски подход, в зависимост от конкретния контекст. Това повишава устойчивостта на предоставяните услуги и надеждността на финансовото управление.</w:t>
            </w:r>
          </w:p>
          <w:p w14:paraId="5A16F33C" w14:textId="77777777" w:rsidR="00D44CF3" w:rsidRPr="008573D0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</w:tc>
        <w:tc>
          <w:tcPr>
            <w:tcW w:w="2427" w:type="dxa"/>
            <w:shd w:val="clear" w:color="auto" w:fill="FFFFFF" w:themeFill="background1"/>
            <w:vAlign w:val="center"/>
          </w:tcPr>
          <w:p w14:paraId="4B9C20EA" w14:textId="7BB0F2F1" w:rsidR="00D44CF3" w:rsidRPr="00A41E83" w:rsidRDefault="00DB7CE0" w:rsidP="00DB7CE0">
            <w:pPr>
              <w:tabs>
                <w:tab w:val="left" w:pos="172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5095F">
              <w:rPr>
                <w:rFonts w:ascii="Times New Roman" w:eastAsia="Calibri" w:hAnsi="Times New Roman" w:cs="Times New Roman"/>
                <w:bCs/>
                <w:lang w:val="bg-BG"/>
              </w:rPr>
              <w:lastRenderedPageBreak/>
              <w:t>ДА</w:t>
            </w:r>
          </w:p>
        </w:tc>
      </w:tr>
      <w:tr w:rsidR="00D44CF3" w:rsidRPr="00A41E83" w14:paraId="01F79FD7" w14:textId="77777777" w:rsidTr="00D44CF3">
        <w:tc>
          <w:tcPr>
            <w:tcW w:w="14760" w:type="dxa"/>
            <w:gridSpan w:val="3"/>
            <w:shd w:val="clear" w:color="auto" w:fill="FBE4D5" w:themeFill="accent2" w:themeFillTint="33"/>
            <w:vAlign w:val="center"/>
          </w:tcPr>
          <w:p w14:paraId="1A63CE8C" w14:textId="77777777" w:rsidR="00D44CF3" w:rsidRPr="00A41E83" w:rsidRDefault="00D44CF3" w:rsidP="00D44CF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  <w:lastRenderedPageBreak/>
              <w:t>ДЕЙНОСТ 5: Местната власт участва в споразумения за междуобщинска солидарност, справедливо разпределение на тежести и ползи и редуциране на рискове (изравнителни системи, междуобщинско сътрудничество и споделяне на рискове).</w:t>
            </w:r>
          </w:p>
        </w:tc>
      </w:tr>
      <w:tr w:rsidR="00D44CF3" w:rsidRPr="00A41E83" w14:paraId="00BEBDC6" w14:textId="77777777" w:rsidTr="00D44CF3">
        <w:tc>
          <w:tcPr>
            <w:tcW w:w="8789" w:type="dxa"/>
            <w:shd w:val="clear" w:color="auto" w:fill="auto"/>
            <w:vAlign w:val="center"/>
          </w:tcPr>
          <w:p w14:paraId="13BB9974" w14:textId="77777777" w:rsidR="00D44CF3" w:rsidRPr="00A41E83" w:rsidRDefault="00D44CF3" w:rsidP="00D44CF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Индикатор 11. Общината участва във форми за междуобщинско сътрудничество с цел подобряване на дейността й, както и на предоставяните от нея услуги</w:t>
            </w:r>
          </w:p>
        </w:tc>
        <w:tc>
          <w:tcPr>
            <w:tcW w:w="3544" w:type="dxa"/>
            <w:shd w:val="clear" w:color="auto" w:fill="FFFFFF" w:themeFill="background1"/>
            <w:vAlign w:val="center"/>
          </w:tcPr>
          <w:p w14:paraId="1EFAC046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D5414">
              <w:rPr>
                <w:rFonts w:ascii="Times New Roman" w:eastAsia="Calibri" w:hAnsi="Times New Roman" w:cs="Times New Roman"/>
                <w:lang w:val="bg-BG"/>
              </w:rPr>
              <w:t>Община Тетевен активно участва във форми на междуобщинско сътрудничество, насочени към подобряване на нейната дейност, обмен на добри практики и повишаване на качеството на публичните услуги. Наблюдават се следните основни форми на сътрудничество:</w:t>
            </w:r>
          </w:p>
          <w:p w14:paraId="14AF12B3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BD5414">
              <w:rPr>
                <w:rFonts w:ascii="Times New Roman" w:eastAsia="Calibri" w:hAnsi="Times New Roman" w:cs="Times New Roman"/>
                <w:lang w:val="bg-BG"/>
              </w:rPr>
              <w:t>Членство в Регионално сдружение на общини – РСО „Централна Стара планина“, чрез което се реализират общи инициативи в сферата на регионалното развитие, стратегическото планиране, устойчивия туризъм и екологията. Това партньорство улеснява:</w:t>
            </w:r>
          </w:p>
          <w:p w14:paraId="1B6D2BA1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D5414">
              <w:rPr>
                <w:rFonts w:ascii="Times New Roman" w:eastAsia="Calibri" w:hAnsi="Times New Roman" w:cs="Times New Roman"/>
                <w:lang w:val="bg-BG"/>
              </w:rPr>
              <w:t>– трансфер на опит и експертиза</w:t>
            </w:r>
          </w:p>
          <w:p w14:paraId="462F87B8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D5414">
              <w:rPr>
                <w:rFonts w:ascii="Times New Roman" w:eastAsia="Calibri" w:hAnsi="Times New Roman" w:cs="Times New Roman"/>
                <w:lang w:val="bg-BG"/>
              </w:rPr>
              <w:t>– реализиране на съвместни проекти</w:t>
            </w:r>
          </w:p>
          <w:p w14:paraId="28767B95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D5414">
              <w:rPr>
                <w:rFonts w:ascii="Times New Roman" w:eastAsia="Calibri" w:hAnsi="Times New Roman" w:cs="Times New Roman"/>
                <w:lang w:val="bg-BG"/>
              </w:rPr>
              <w:t>– съвместно участие по европейски и национални програми</w:t>
            </w:r>
          </w:p>
          <w:p w14:paraId="646FBF85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2E133A98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BD5414">
              <w:rPr>
                <w:rFonts w:ascii="Times New Roman" w:eastAsia="Calibri" w:hAnsi="Times New Roman" w:cs="Times New Roman"/>
                <w:lang w:val="bg-BG"/>
              </w:rPr>
              <w:t>Сътрудничество с общини от област Ловеч при изпълнение на междусекторни политики (вкл. в образованието, здравеопазването и социалните услуги), както и по дейности, свързани с управление на отпадъци, транспортни връзки и водоснабдяване.</w:t>
            </w:r>
          </w:p>
          <w:p w14:paraId="32BB9490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-</w:t>
            </w:r>
            <w:r w:rsidRPr="00BD5414">
              <w:rPr>
                <w:rFonts w:ascii="Times New Roman" w:eastAsia="Calibri" w:hAnsi="Times New Roman" w:cs="Times New Roman"/>
                <w:lang w:val="bg-BG"/>
              </w:rPr>
              <w:t>Участие в съвместни проекти с други общини по ОП „Добро управление“, Програма за развитие на селските райони, Норвежкия механизъм, където се прилагат модели за споделени ресурси, обмен на експерти и съвместни обучения.</w:t>
            </w:r>
          </w:p>
          <w:p w14:paraId="613F2CC1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BD5414">
              <w:rPr>
                <w:rFonts w:ascii="Times New Roman" w:eastAsia="Calibri" w:hAnsi="Times New Roman" w:cs="Times New Roman"/>
                <w:lang w:val="bg-BG"/>
              </w:rPr>
              <w:t>Обмен на добри практики чрез НСОРБ (Национално сдружение на общините) – чрез участие в работни групи, форуми, конференции и обучения, както от страна на ръководството, така и от страна на служителите в администрацията.</w:t>
            </w:r>
          </w:p>
          <w:p w14:paraId="4FA4DD27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BD5414">
              <w:rPr>
                <w:rFonts w:ascii="Times New Roman" w:eastAsia="Calibri" w:hAnsi="Times New Roman" w:cs="Times New Roman"/>
                <w:lang w:val="bg-BG"/>
              </w:rPr>
              <w:t>Конкретни резултати от сътрудничеството включват:</w:t>
            </w:r>
          </w:p>
          <w:p w14:paraId="02C4F05F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D5414">
              <w:rPr>
                <w:rFonts w:ascii="Times New Roman" w:eastAsia="Calibri" w:hAnsi="Times New Roman" w:cs="Times New Roman"/>
                <w:lang w:val="bg-BG"/>
              </w:rPr>
              <w:t>– подобрен административен капацитет</w:t>
            </w:r>
          </w:p>
          <w:p w14:paraId="58461FC3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D5414">
              <w:rPr>
                <w:rFonts w:ascii="Times New Roman" w:eastAsia="Calibri" w:hAnsi="Times New Roman" w:cs="Times New Roman"/>
                <w:lang w:val="bg-BG"/>
              </w:rPr>
              <w:t>– внедряване на общи електронни системи</w:t>
            </w:r>
          </w:p>
          <w:p w14:paraId="153D5EFA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D5414">
              <w:rPr>
                <w:rFonts w:ascii="Times New Roman" w:eastAsia="Calibri" w:hAnsi="Times New Roman" w:cs="Times New Roman"/>
                <w:lang w:val="bg-BG"/>
              </w:rPr>
              <w:t>– развитие на регионални туристически маршрути</w:t>
            </w:r>
          </w:p>
          <w:p w14:paraId="6E714CD9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D5414">
              <w:rPr>
                <w:rFonts w:ascii="Times New Roman" w:eastAsia="Calibri" w:hAnsi="Times New Roman" w:cs="Times New Roman"/>
                <w:lang w:val="bg-BG"/>
              </w:rPr>
              <w:t>– координация при кризи и извънредни ситуации</w:t>
            </w:r>
          </w:p>
          <w:p w14:paraId="0B9E0B3C" w14:textId="77777777" w:rsidR="00D44CF3" w:rsidRPr="00BD5414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4921AD93" w14:textId="77777777" w:rsidR="00D44CF3" w:rsidRPr="008573D0" w:rsidRDefault="00D44CF3" w:rsidP="00D44C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D5414">
              <w:rPr>
                <w:rFonts w:ascii="Times New Roman" w:eastAsia="Calibri" w:hAnsi="Times New Roman" w:cs="Times New Roman"/>
                <w:lang w:val="bg-BG"/>
              </w:rPr>
              <w:t xml:space="preserve">Участието на община Тетевен в тези форми на сътрудничество показва устойчива ангажираност с идеи, насочени към надграждане на местния капацитет чрез колективен </w:t>
            </w:r>
            <w:r w:rsidRPr="00BD5414">
              <w:rPr>
                <w:rFonts w:ascii="Times New Roman" w:eastAsia="Calibri" w:hAnsi="Times New Roman" w:cs="Times New Roman"/>
                <w:lang w:val="bg-BG"/>
              </w:rPr>
              <w:lastRenderedPageBreak/>
              <w:t>ресурс, което е съществен принцип на модерното местно управление.</w:t>
            </w:r>
          </w:p>
        </w:tc>
        <w:tc>
          <w:tcPr>
            <w:tcW w:w="2427" w:type="dxa"/>
            <w:shd w:val="clear" w:color="auto" w:fill="FFFFFF" w:themeFill="background1"/>
            <w:vAlign w:val="center"/>
          </w:tcPr>
          <w:p w14:paraId="2C0CC3C2" w14:textId="1171F0B2" w:rsidR="00D44CF3" w:rsidRPr="00A41E83" w:rsidRDefault="00DB7CE0" w:rsidP="00DB7CE0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5095F">
              <w:rPr>
                <w:rFonts w:ascii="Times New Roman" w:eastAsia="Calibri" w:hAnsi="Times New Roman" w:cs="Times New Roman"/>
                <w:bCs/>
                <w:lang w:val="bg-BG"/>
              </w:rPr>
              <w:lastRenderedPageBreak/>
              <w:t>ДА</w:t>
            </w:r>
          </w:p>
        </w:tc>
      </w:tr>
      <w:tr w:rsidR="00D44CF3" w:rsidRPr="00A41E83" w14:paraId="291D6A2C" w14:textId="77777777" w:rsidTr="00D44CF3">
        <w:tc>
          <w:tcPr>
            <w:tcW w:w="8789" w:type="dxa"/>
            <w:shd w:val="clear" w:color="auto" w:fill="E2EFD9" w:themeFill="accent6" w:themeFillTint="33"/>
            <w:vAlign w:val="center"/>
          </w:tcPr>
          <w:p w14:paraId="308315AB" w14:textId="77777777" w:rsidR="00D44CF3" w:rsidRPr="00A41E83" w:rsidRDefault="00D44CF3" w:rsidP="00D44CF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2FE31891" w14:textId="77777777" w:rsidR="00D44CF3" w:rsidRPr="00A41E83" w:rsidRDefault="00D44CF3" w:rsidP="00D44CF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ВЕРИФИЦИРАНЕ ПРИЛАГАНЕТО НА ПРИНЦИП 10:</w:t>
            </w:r>
          </w:p>
          <w:p w14:paraId="363230AE" w14:textId="77777777" w:rsidR="00D44CF3" w:rsidRPr="00A41E83" w:rsidRDefault="00D44CF3" w:rsidP="00D44CF3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971" w:type="dxa"/>
            <w:gridSpan w:val="2"/>
            <w:shd w:val="clear" w:color="auto" w:fill="E2EFD9" w:themeFill="accent6" w:themeFillTint="33"/>
            <w:vAlign w:val="center"/>
          </w:tcPr>
          <w:p w14:paraId="3E8255AC" w14:textId="77777777" w:rsidR="00D44CF3" w:rsidRPr="00A41E83" w:rsidRDefault="00D44CF3" w:rsidP="00D44CF3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5B1AC9">
              <w:rPr>
                <w:rFonts w:ascii="Times New Roman" w:eastAsia="Calibri" w:hAnsi="Times New Roman" w:cs="Times New Roman"/>
                <w:b/>
                <w:lang w:val="bg-BG"/>
              </w:rPr>
              <w:t>ЗАВЕРКА БЕЗ РЕЗЕРВИ</w:t>
            </w:r>
          </w:p>
        </w:tc>
      </w:tr>
    </w:tbl>
    <w:p w14:paraId="687EE6C9" w14:textId="77777777" w:rsidR="00246FD8" w:rsidRDefault="00246FD8"/>
    <w:sectPr w:rsidR="00246FD8" w:rsidSect="00B97B70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FE1C12" w14:textId="77777777" w:rsidR="00E714E7" w:rsidRDefault="00E714E7" w:rsidP="00142318">
      <w:pPr>
        <w:spacing w:after="0" w:line="240" w:lineRule="auto"/>
      </w:pPr>
      <w:r>
        <w:separator/>
      </w:r>
    </w:p>
  </w:endnote>
  <w:endnote w:type="continuationSeparator" w:id="0">
    <w:p w14:paraId="31F8190C" w14:textId="77777777" w:rsidR="00E714E7" w:rsidRDefault="00E714E7" w:rsidP="001423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DB5CBD" w14:textId="77777777" w:rsidR="00E714E7" w:rsidRDefault="00E714E7" w:rsidP="00142318">
      <w:pPr>
        <w:spacing w:after="0" w:line="240" w:lineRule="auto"/>
      </w:pPr>
      <w:r>
        <w:separator/>
      </w:r>
    </w:p>
  </w:footnote>
  <w:footnote w:type="continuationSeparator" w:id="0">
    <w:p w14:paraId="2CC7F198" w14:textId="77777777" w:rsidR="00E714E7" w:rsidRDefault="00E714E7" w:rsidP="001423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46684" w14:textId="77777777" w:rsidR="00142318" w:rsidRPr="00142318" w:rsidRDefault="00142318" w:rsidP="00142318">
    <w:pPr>
      <w:pStyle w:val="Header"/>
      <w:jc w:val="right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>КОНТРОЛЕН ЛИСТ № 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DB732A"/>
    <w:multiLevelType w:val="hybridMultilevel"/>
    <w:tmpl w:val="E0768994"/>
    <w:lvl w:ilvl="0" w:tplc="04020001">
      <w:start w:val="1"/>
      <w:numFmt w:val="bullet"/>
      <w:lvlText w:val=""/>
      <w:lvlJc w:val="left"/>
      <w:pPr>
        <w:ind w:left="1972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" w15:restartNumberingAfterBreak="0">
    <w:nsid w:val="1DE6273E"/>
    <w:multiLevelType w:val="hybridMultilevel"/>
    <w:tmpl w:val="7F044020"/>
    <w:lvl w:ilvl="0" w:tplc="B7582512">
      <w:start w:val="1"/>
      <w:numFmt w:val="decimal"/>
      <w:lvlText w:val="%1."/>
      <w:lvlJc w:val="left"/>
      <w:pPr>
        <w:tabs>
          <w:tab w:val="num" w:pos="284"/>
        </w:tabs>
        <w:ind w:left="0" w:firstLine="28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3BC36C2"/>
    <w:multiLevelType w:val="hybridMultilevel"/>
    <w:tmpl w:val="F1865136"/>
    <w:lvl w:ilvl="0" w:tplc="B7582512">
      <w:start w:val="1"/>
      <w:numFmt w:val="decimal"/>
      <w:lvlText w:val="%1."/>
      <w:lvlJc w:val="left"/>
      <w:pPr>
        <w:tabs>
          <w:tab w:val="num" w:pos="284"/>
        </w:tabs>
        <w:ind w:left="0" w:firstLine="284"/>
      </w:pPr>
    </w:lvl>
    <w:lvl w:ilvl="1" w:tplc="8ED887C8">
      <w:start w:val="1"/>
      <w:numFmt w:val="bullet"/>
      <w:lvlText w:val=""/>
      <w:lvlJc w:val="left"/>
      <w:pPr>
        <w:tabs>
          <w:tab w:val="num" w:pos="1250"/>
        </w:tabs>
        <w:ind w:left="1080" w:firstLine="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315127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363365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232012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7B70"/>
    <w:rsid w:val="00142318"/>
    <w:rsid w:val="001D2469"/>
    <w:rsid w:val="00246FD8"/>
    <w:rsid w:val="004121BD"/>
    <w:rsid w:val="0050448D"/>
    <w:rsid w:val="00512DB3"/>
    <w:rsid w:val="00570C24"/>
    <w:rsid w:val="005B42F5"/>
    <w:rsid w:val="006B788A"/>
    <w:rsid w:val="007335CA"/>
    <w:rsid w:val="007B48EC"/>
    <w:rsid w:val="0084459C"/>
    <w:rsid w:val="00962F8A"/>
    <w:rsid w:val="00A41E83"/>
    <w:rsid w:val="00B5739E"/>
    <w:rsid w:val="00B97B70"/>
    <w:rsid w:val="00C5095F"/>
    <w:rsid w:val="00D20AF2"/>
    <w:rsid w:val="00D44CF3"/>
    <w:rsid w:val="00D60042"/>
    <w:rsid w:val="00D647D5"/>
    <w:rsid w:val="00DB7CE0"/>
    <w:rsid w:val="00E714E7"/>
    <w:rsid w:val="00EE0D4C"/>
    <w:rsid w:val="00F20ADA"/>
    <w:rsid w:val="00F22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68D0A"/>
  <w15:chartTrackingRefBased/>
  <w15:docId w15:val="{39323546-F1BB-4EB3-9F4E-1577BE7A8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2469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97B7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6004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423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2318"/>
  </w:style>
  <w:style w:type="paragraph" w:styleId="Footer">
    <w:name w:val="footer"/>
    <w:basedOn w:val="Normal"/>
    <w:link w:val="FooterChar"/>
    <w:uiPriority w:val="99"/>
    <w:unhideWhenUsed/>
    <w:rsid w:val="001423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2318"/>
  </w:style>
  <w:style w:type="paragraph" w:styleId="NormalWeb">
    <w:name w:val="Normal (Web)"/>
    <w:basedOn w:val="Normal"/>
    <w:uiPriority w:val="99"/>
    <w:unhideWhenUsed/>
    <w:rsid w:val="00D44C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25</Pages>
  <Words>3350</Words>
  <Characters>19097</Characters>
  <Application>Microsoft Office Word</Application>
  <DocSecurity>0</DocSecurity>
  <Lines>159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22403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Rumyana Draganova</cp:lastModifiedBy>
  <cp:revision>13</cp:revision>
  <dcterms:created xsi:type="dcterms:W3CDTF">2022-07-05T11:20:00Z</dcterms:created>
  <dcterms:modified xsi:type="dcterms:W3CDTF">2025-06-19T06:32:00Z</dcterms:modified>
</cp:coreProperties>
</file>